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F1E2" w14:textId="19DFEDC6"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07E16">
        <w:rPr>
          <w:rFonts w:cs="Arial"/>
          <w:sz w:val="24"/>
          <w:szCs w:val="24"/>
        </w:rPr>
        <w:t>8</w:t>
      </w:r>
      <w:r w:rsidRPr="00830435">
        <w:rPr>
          <w:rFonts w:cs="Arial"/>
          <w:sz w:val="24"/>
          <w:szCs w:val="24"/>
        </w:rPr>
        <w:t>e</w:t>
      </w:r>
      <w:r w:rsidRPr="00830435">
        <w:rPr>
          <w:rFonts w:cs="Arial"/>
          <w:noProof w:val="0"/>
          <w:sz w:val="24"/>
        </w:rPr>
        <w:tab/>
      </w:r>
      <w:r w:rsidRPr="00830435">
        <w:rPr>
          <w:rFonts w:cs="Arial"/>
          <w:noProof w:val="0"/>
          <w:sz w:val="24"/>
        </w:rPr>
        <w:tab/>
      </w:r>
      <w:r w:rsidR="00064B91" w:rsidRPr="00064B91">
        <w:rPr>
          <w:rFonts w:cs="Arial"/>
          <w:noProof w:val="0"/>
          <w:sz w:val="24"/>
        </w:rPr>
        <w:t>R4-2101262</w:t>
      </w:r>
    </w:p>
    <w:p w14:paraId="2EC60C4C" w14:textId="359618F9" w:rsidR="00BA4660" w:rsidRPr="00B32217" w:rsidRDefault="00BA4660" w:rsidP="00BA4660">
      <w:pPr>
        <w:pStyle w:val="Header"/>
        <w:rPr>
          <w:noProof w:val="0"/>
          <w:sz w:val="24"/>
          <w:szCs w:val="24"/>
          <w:lang w:eastAsia="zh-CN"/>
        </w:rPr>
      </w:pPr>
      <w:r w:rsidRPr="00B41277">
        <w:rPr>
          <w:rFonts w:cs="Arial"/>
          <w:sz w:val="24"/>
          <w:szCs w:val="24"/>
        </w:rPr>
        <w:t xml:space="preserve">Electronic, </w:t>
      </w:r>
      <w:r w:rsidR="00217591">
        <w:rPr>
          <w:rFonts w:cs="Arial"/>
          <w:sz w:val="24"/>
          <w:szCs w:val="24"/>
        </w:rPr>
        <w:t>25</w:t>
      </w:r>
      <w:r w:rsidR="00507E16">
        <w:rPr>
          <w:rFonts w:cs="Arial"/>
          <w:sz w:val="24"/>
          <w:szCs w:val="24"/>
          <w:vertAlign w:val="superscript"/>
        </w:rPr>
        <w:t>th</w:t>
      </w:r>
      <w:r w:rsidR="00AD6EAC" w:rsidRPr="00B41277">
        <w:rPr>
          <w:rFonts w:cs="Arial"/>
          <w:sz w:val="24"/>
          <w:szCs w:val="24"/>
        </w:rPr>
        <w:t xml:space="preserve"> </w:t>
      </w:r>
      <w:r w:rsidR="00217591">
        <w:rPr>
          <w:rFonts w:cs="Arial"/>
          <w:sz w:val="24"/>
          <w:szCs w:val="24"/>
        </w:rPr>
        <w:t xml:space="preserve">January </w:t>
      </w:r>
      <w:r w:rsidRPr="00B41277">
        <w:rPr>
          <w:rFonts w:cs="Arial"/>
          <w:sz w:val="24"/>
          <w:szCs w:val="24"/>
        </w:rPr>
        <w:t xml:space="preserve">– </w:t>
      </w:r>
      <w:r w:rsidR="00217591">
        <w:rPr>
          <w:rFonts w:cs="Arial"/>
          <w:sz w:val="24"/>
          <w:szCs w:val="24"/>
        </w:rPr>
        <w:t>5</w:t>
      </w:r>
      <w:r w:rsidRPr="00B41277">
        <w:rPr>
          <w:rFonts w:cs="Arial"/>
          <w:sz w:val="24"/>
          <w:szCs w:val="24"/>
          <w:vertAlign w:val="superscript"/>
        </w:rPr>
        <w:t>th</w:t>
      </w:r>
      <w:r w:rsidRPr="00B41277">
        <w:rPr>
          <w:rFonts w:cs="Arial"/>
          <w:sz w:val="24"/>
          <w:szCs w:val="24"/>
        </w:rPr>
        <w:t xml:space="preserve"> </w:t>
      </w:r>
      <w:r w:rsidR="00217591">
        <w:rPr>
          <w:rFonts w:cs="Arial"/>
          <w:sz w:val="24"/>
          <w:szCs w:val="24"/>
        </w:rPr>
        <w:t>February</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3BE1D133"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3409AF">
        <w:rPr>
          <w:rFonts w:ascii="Arial" w:hAnsi="Arial" w:cs="Arial"/>
          <w:b/>
          <w:sz w:val="24"/>
        </w:rPr>
        <w:t>7.4.8.2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7EB91659"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507E16">
        <w:rPr>
          <w:rFonts w:ascii="Arial" w:hAnsi="Arial" w:cs="Arial"/>
          <w:b/>
          <w:sz w:val="24"/>
        </w:rPr>
        <w:t>IAB-DU demodulation performance requirements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092F8E70" w14:textId="7C883A9A" w:rsidR="00BF6DFE" w:rsidRPr="00070953" w:rsidRDefault="00BF6DFE" w:rsidP="00BF6DFE">
      <w:r w:rsidRPr="00706462">
        <w:t>In RAN #</w:t>
      </w:r>
      <w:r w:rsidR="00706462" w:rsidRPr="00706462">
        <w:t>97</w:t>
      </w:r>
      <w:r w:rsidRPr="00706462">
        <w:t xml:space="preserve">e meeting </w:t>
      </w:r>
      <w:r w:rsidR="00706462" w:rsidRPr="00706462">
        <w:t>demodulation performance requirements for IAB-DU were extensively discussed</w:t>
      </w:r>
      <w:r w:rsidR="00706462">
        <w:t xml:space="preserve"> and all agreements and </w:t>
      </w:r>
      <w:r w:rsidR="00CB1EF9">
        <w:t>remaining open issues are captured in</w:t>
      </w:r>
      <w:r w:rsidR="00CB1EF9">
        <w:fldChar w:fldCharType="begin"/>
      </w:r>
      <w:r w:rsidR="00CB1EF9">
        <w:instrText xml:space="preserve"> REF _Hlk21019686 \r \h </w:instrText>
      </w:r>
      <w:r w:rsidR="00CB1EF9">
        <w:fldChar w:fldCharType="separate"/>
      </w:r>
      <w:r w:rsidR="00CB1EF9">
        <w:t>[1]</w:t>
      </w:r>
      <w:r w:rsidR="00CB1EF9">
        <w:fldChar w:fldCharType="end"/>
      </w:r>
      <w:r w:rsidR="00706462" w:rsidRPr="00706462">
        <w:t>.</w:t>
      </w:r>
      <w:r w:rsidRPr="00706462">
        <w:t xml:space="preserve"> </w:t>
      </w:r>
      <w:r w:rsidR="00706462" w:rsidRPr="00706462">
        <w:t xml:space="preserve">The following general agreements on requirements </w:t>
      </w:r>
      <w:r w:rsidR="00F42655">
        <w:t>definition</w:t>
      </w:r>
      <w:r w:rsidR="00706462" w:rsidRPr="00706462">
        <w:t xml:space="preserve"> were made: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8"/>
      </w:tblGrid>
      <w:tr w:rsidR="00BF6DFE" w14:paraId="46E79986" w14:textId="77777777" w:rsidTr="000671A5">
        <w:tc>
          <w:tcPr>
            <w:tcW w:w="8958" w:type="dxa"/>
            <w:shd w:val="clear" w:color="auto" w:fill="auto"/>
          </w:tcPr>
          <w:p w14:paraId="05CC419E" w14:textId="14DC997B" w:rsidR="00BF6DFE" w:rsidRPr="00CB1EF9" w:rsidRDefault="00706462" w:rsidP="00CB1EF9">
            <w:pPr>
              <w:numPr>
                <w:ilvl w:val="0"/>
                <w:numId w:val="17"/>
              </w:numPr>
              <w:spacing w:before="0"/>
              <w:ind w:left="420" w:hanging="420"/>
              <w:rPr>
                <w:i/>
                <w:iCs/>
                <w:lang w:eastAsia="zh-CN"/>
              </w:rPr>
            </w:pPr>
            <w:r w:rsidRPr="00CB1EF9">
              <w:rPr>
                <w:i/>
                <w:iCs/>
                <w:lang w:eastAsia="zh-CN"/>
              </w:rPr>
              <w:t>IAB DU backhaul and access link differences</w:t>
            </w:r>
            <w:r w:rsidR="00CB1EF9" w:rsidRPr="00CB1EF9">
              <w:rPr>
                <w:i/>
                <w:iCs/>
                <w:lang w:eastAsia="zh-CN"/>
              </w:rPr>
              <w:t>:</w:t>
            </w:r>
          </w:p>
          <w:p w14:paraId="69737CB1" w14:textId="77777777" w:rsidR="00706462" w:rsidRPr="00706462" w:rsidRDefault="00706462" w:rsidP="00CB1EF9">
            <w:pPr>
              <w:numPr>
                <w:ilvl w:val="1"/>
                <w:numId w:val="17"/>
              </w:numPr>
              <w:spacing w:before="0"/>
              <w:ind w:left="840" w:hanging="420"/>
              <w:rPr>
                <w:i/>
                <w:iCs/>
                <w:lang w:val="en-US" w:eastAsia="zh-CN"/>
              </w:rPr>
            </w:pPr>
            <w:r w:rsidRPr="00706462">
              <w:rPr>
                <w:i/>
                <w:iCs/>
                <w:lang w:val="en-US" w:eastAsia="zh-CN"/>
              </w:rPr>
              <w:t xml:space="preserve">RAN4 will introduce IAB-DU demodulation requirements covering UL access and backhaul links. </w:t>
            </w:r>
          </w:p>
          <w:p w14:paraId="39811CCF" w14:textId="6A882BDD" w:rsidR="00706462" w:rsidRPr="00CB1EF9" w:rsidRDefault="00706462" w:rsidP="00CB1EF9">
            <w:pPr>
              <w:numPr>
                <w:ilvl w:val="1"/>
                <w:numId w:val="17"/>
              </w:numPr>
              <w:spacing w:before="0"/>
              <w:ind w:left="840" w:hanging="420"/>
              <w:rPr>
                <w:i/>
                <w:iCs/>
                <w:lang w:val="en-US" w:eastAsia="zh-CN"/>
              </w:rPr>
            </w:pPr>
            <w:r w:rsidRPr="00CB1EF9">
              <w:rPr>
                <w:i/>
                <w:iCs/>
                <w:lang w:val="en-US" w:eastAsia="zh-CN"/>
              </w:rPr>
              <w:t>No need to discriminate the test cases for these two links in the specification</w:t>
            </w:r>
            <w:r w:rsidR="00CB1EF9">
              <w:rPr>
                <w:i/>
                <w:iCs/>
                <w:lang w:val="en-US" w:eastAsia="zh-CN"/>
              </w:rPr>
              <w:t>.</w:t>
            </w:r>
          </w:p>
          <w:p w14:paraId="031C4F28" w14:textId="6DF8CE76" w:rsidR="00706462" w:rsidRPr="00CB1EF9" w:rsidRDefault="00706462" w:rsidP="00CB1EF9">
            <w:pPr>
              <w:numPr>
                <w:ilvl w:val="0"/>
                <w:numId w:val="17"/>
              </w:numPr>
              <w:spacing w:before="0"/>
              <w:ind w:left="420" w:hanging="420"/>
              <w:rPr>
                <w:i/>
                <w:iCs/>
                <w:lang w:eastAsia="zh-CN"/>
              </w:rPr>
            </w:pPr>
            <w:r w:rsidRPr="00CB1EF9">
              <w:rPr>
                <w:i/>
                <w:iCs/>
                <w:lang w:eastAsia="zh-CN"/>
              </w:rPr>
              <w:t>Additional requirement configurations on top of BS ones</w:t>
            </w:r>
            <w:r w:rsidR="00CB1EF9" w:rsidRPr="00CB1EF9">
              <w:rPr>
                <w:i/>
                <w:iCs/>
                <w:lang w:eastAsia="zh-CN"/>
              </w:rPr>
              <w:t>:</w:t>
            </w:r>
          </w:p>
          <w:p w14:paraId="5CBE1C4F" w14:textId="0507A0DE" w:rsidR="00706462" w:rsidRPr="00CB1EF9" w:rsidRDefault="00706462" w:rsidP="00706462">
            <w:pPr>
              <w:pStyle w:val="ListParagraph"/>
              <w:numPr>
                <w:ilvl w:val="1"/>
                <w:numId w:val="17"/>
              </w:numPr>
              <w:spacing w:before="0" w:line="276" w:lineRule="auto"/>
              <w:rPr>
                <w:rFonts w:ascii="Times New Roman" w:eastAsia="SimSun" w:hAnsi="Times New Roman"/>
                <w:i/>
                <w:iCs/>
                <w:sz w:val="20"/>
                <w:szCs w:val="20"/>
                <w:lang w:eastAsia="zh-CN"/>
              </w:rPr>
            </w:pPr>
            <w:r w:rsidRPr="00CB1EF9">
              <w:rPr>
                <w:rFonts w:ascii="Times New Roman" w:eastAsia="SimSun" w:hAnsi="Times New Roman"/>
                <w:i/>
                <w:iCs/>
                <w:sz w:val="20"/>
                <w:szCs w:val="20"/>
                <w:lang w:eastAsia="zh-CN"/>
              </w:rPr>
              <w:t>There is no need to introduce any new performance requirements for IAB-DU in addition to already existing BS requirements</w:t>
            </w:r>
            <w:r w:rsidR="00CB1EF9">
              <w:rPr>
                <w:rFonts w:ascii="Times New Roman" w:eastAsia="SimSun" w:hAnsi="Times New Roman"/>
                <w:i/>
                <w:iCs/>
                <w:sz w:val="20"/>
                <w:szCs w:val="20"/>
                <w:lang w:eastAsia="zh-CN"/>
              </w:rPr>
              <w:t>.</w:t>
            </w:r>
          </w:p>
          <w:p w14:paraId="1C71A581" w14:textId="7D156958" w:rsidR="00706462" w:rsidRPr="00CB1EF9" w:rsidRDefault="00706462" w:rsidP="00CB1EF9">
            <w:pPr>
              <w:numPr>
                <w:ilvl w:val="0"/>
                <w:numId w:val="17"/>
              </w:numPr>
              <w:spacing w:before="0"/>
              <w:ind w:left="420" w:hanging="420"/>
              <w:rPr>
                <w:i/>
                <w:iCs/>
                <w:lang w:eastAsia="zh-CN"/>
              </w:rPr>
            </w:pPr>
            <w:r w:rsidRPr="00CB1EF9">
              <w:rPr>
                <w:i/>
                <w:iCs/>
                <w:lang w:eastAsia="zh-CN"/>
              </w:rPr>
              <w:t>Basis for requirement re-use</w:t>
            </w:r>
            <w:r w:rsidR="00CB1EF9" w:rsidRPr="00CB1EF9">
              <w:rPr>
                <w:i/>
                <w:iCs/>
                <w:lang w:eastAsia="zh-CN"/>
              </w:rPr>
              <w:t>:</w:t>
            </w:r>
          </w:p>
          <w:p w14:paraId="28E3D177" w14:textId="10B3277D" w:rsidR="00706462" w:rsidRPr="00BD4FFF" w:rsidRDefault="00706462" w:rsidP="00706462">
            <w:pPr>
              <w:pStyle w:val="ListParagraph"/>
              <w:numPr>
                <w:ilvl w:val="1"/>
                <w:numId w:val="17"/>
              </w:numPr>
              <w:spacing w:before="0" w:line="276" w:lineRule="auto"/>
              <w:rPr>
                <w:lang w:eastAsia="zh-CN"/>
              </w:rPr>
            </w:pPr>
            <w:r w:rsidRPr="00CB1EF9">
              <w:rPr>
                <w:rFonts w:ascii="Times New Roman" w:eastAsia="SimSun" w:hAnsi="Times New Roman"/>
                <w:i/>
                <w:iCs/>
                <w:sz w:val="20"/>
                <w:szCs w:val="20"/>
                <w:lang w:eastAsia="zh-CN"/>
              </w:rPr>
              <w:t>Based on Rel-15 gNB performance requirements to discuss IAB-DU performance requirements definition</w:t>
            </w:r>
            <w:r w:rsidR="00CB1EF9">
              <w:rPr>
                <w:rFonts w:ascii="Times New Roman" w:eastAsia="SimSun" w:hAnsi="Times New Roman"/>
                <w:i/>
                <w:iCs/>
                <w:sz w:val="20"/>
                <w:szCs w:val="20"/>
                <w:lang w:eastAsia="zh-CN"/>
              </w:rPr>
              <w:t>.</w:t>
            </w:r>
          </w:p>
        </w:tc>
      </w:tr>
    </w:tbl>
    <w:p w14:paraId="1B01EDCB" w14:textId="323E76EB" w:rsidR="00CB1EF9" w:rsidRPr="00CB1EF9" w:rsidRDefault="00CB1EF9" w:rsidP="00BF6DFE">
      <w:r w:rsidRPr="00CB1EF9">
        <w:t xml:space="preserve">In this paper we provide our view on </w:t>
      </w:r>
      <w:r w:rsidR="001331BE">
        <w:rPr>
          <w:lang w:val="en-US"/>
        </w:rPr>
        <w:t xml:space="preserve">reusing of Rel-15 </w:t>
      </w:r>
      <w:r w:rsidRPr="00CB1EF9">
        <w:t xml:space="preserve">BS requirements for IAB-DU and address applicability rule structure considering typical IAB node deployment scenarios. </w:t>
      </w:r>
    </w:p>
    <w:p w14:paraId="5FB0E992" w14:textId="77777777" w:rsidR="00CF667C" w:rsidRPr="00146B4F" w:rsidRDefault="00CF667C" w:rsidP="00CF667C">
      <w:pPr>
        <w:pStyle w:val="Heading1"/>
      </w:pPr>
      <w:r>
        <w:t>Discussion</w:t>
      </w:r>
    </w:p>
    <w:p w14:paraId="606FDEDC" w14:textId="56175B06" w:rsidR="00272DC6" w:rsidRDefault="00EA4DE4" w:rsidP="001331BE">
      <w:pPr>
        <w:pStyle w:val="Heading2"/>
        <w:ind w:left="567"/>
      </w:pPr>
      <w:r>
        <w:t>PUSCH</w:t>
      </w:r>
    </w:p>
    <w:p w14:paraId="3E4368E4" w14:textId="3E57F324" w:rsidR="00F65212" w:rsidRDefault="00F65212" w:rsidP="00F65212">
      <w:pPr>
        <w:rPr>
          <w:lang w:val="en-US" w:eastAsia="ja-JP" w:bidi="hi-IN"/>
        </w:rPr>
      </w:pPr>
      <w:r>
        <w:rPr>
          <w:lang w:val="en-US" w:eastAsia="ja-JP" w:bidi="hi-IN"/>
        </w:rPr>
        <w:t xml:space="preserve">It was agreed to define IAB-DU performance requirements based on Rel-15 gNB requirements. However, one minor exception should be made to address testability issue for some radiated tests. In Rel-16 it was identified that MCS configuration for 16QAM </w:t>
      </w:r>
      <w:r w:rsidRPr="004E3523">
        <w:rPr>
          <w:rFonts w:hint="eastAsia"/>
          <w:sz w:val="21"/>
          <w:szCs w:val="21"/>
          <w:lang w:eastAsia="zh-CN"/>
        </w:rPr>
        <w:t>2T2R</w:t>
      </w:r>
      <w:r>
        <w:rPr>
          <w:lang w:val="en-US" w:eastAsia="ja-JP" w:bidi="hi-IN"/>
        </w:rPr>
        <w:t xml:space="preserve"> radiated test cases was chosen too high </w:t>
      </w:r>
      <w:r w:rsidR="00F42655">
        <w:rPr>
          <w:lang w:val="en-US" w:eastAsia="ja-JP" w:bidi="hi-IN"/>
        </w:rPr>
        <w:t>that corresponding SNR cannot be</w:t>
      </w:r>
      <w:r>
        <w:rPr>
          <w:lang w:val="en-US" w:eastAsia="ja-JP" w:bidi="hi-IN"/>
        </w:rPr>
        <w:t xml:space="preserve"> reached during the OTA test </w:t>
      </w:r>
      <w:r>
        <w:rPr>
          <w:lang w:val="en-US" w:eastAsia="ja-JP" w:bidi="hi-IN"/>
        </w:rPr>
        <w:fldChar w:fldCharType="begin"/>
      </w:r>
      <w:r>
        <w:rPr>
          <w:lang w:val="en-US" w:eastAsia="ja-JP" w:bidi="hi-IN"/>
        </w:rPr>
        <w:instrText xml:space="preserve"> REF _Ref61541351 \r \h </w:instrText>
      </w:r>
      <w:r>
        <w:rPr>
          <w:lang w:val="en-US" w:eastAsia="ja-JP" w:bidi="hi-IN"/>
        </w:rPr>
      </w:r>
      <w:r>
        <w:rPr>
          <w:lang w:val="en-US" w:eastAsia="ja-JP" w:bidi="hi-IN"/>
        </w:rPr>
        <w:fldChar w:fldCharType="separate"/>
      </w:r>
      <w:r>
        <w:rPr>
          <w:lang w:val="en-US" w:eastAsia="ja-JP" w:bidi="hi-IN"/>
        </w:rPr>
        <w:t>[2]</w:t>
      </w:r>
      <w:r>
        <w:rPr>
          <w:lang w:val="en-US" w:eastAsia="ja-JP" w:bidi="hi-IN"/>
        </w:rPr>
        <w:fldChar w:fldCharType="end"/>
      </w:r>
      <w:r>
        <w:rPr>
          <w:lang w:val="en-US" w:eastAsia="ja-JP" w:bidi="hi-IN"/>
        </w:rPr>
        <w:t xml:space="preserve">. To address this issue, corresponding performance requirements were changed in Rel-16 and defined with lower MCS. For IAB-DU we should also reuse Rel-16 requirements for 16QAM radiated test cases. </w:t>
      </w:r>
    </w:p>
    <w:p w14:paraId="62F7F84F" w14:textId="7D6D90F8" w:rsidR="00F65212" w:rsidRDefault="00F65212" w:rsidP="00F65212">
      <w:pPr>
        <w:pStyle w:val="Proposal1"/>
      </w:pPr>
      <w:r w:rsidRPr="001F63CF">
        <w:t>Proposal #</w:t>
      </w:r>
      <w:r>
        <w:t>1</w:t>
      </w:r>
      <w:r w:rsidRPr="001F63CF">
        <w:t xml:space="preserve">: </w:t>
      </w:r>
      <w:r w:rsidRPr="001F63CF">
        <w:tab/>
      </w:r>
      <w:r>
        <w:t xml:space="preserve">For IAB-DU 16QAM 2T2R radiated test cases reuse Rel-16 gNB performance requirements. </w:t>
      </w:r>
    </w:p>
    <w:p w14:paraId="590BCCC5" w14:textId="5DFDCA09" w:rsidR="00F65212" w:rsidRPr="00F65212" w:rsidRDefault="00F65212" w:rsidP="00F65212">
      <w:pPr>
        <w:rPr>
          <w:lang w:eastAsia="ja-JP" w:bidi="hi-IN"/>
        </w:rPr>
      </w:pPr>
    </w:p>
    <w:p w14:paraId="00787578" w14:textId="4DC5DB65" w:rsidR="00EA4DE4" w:rsidRDefault="00EA4DE4" w:rsidP="00EA4DE4">
      <w:pPr>
        <w:widowControl w:val="0"/>
        <w:rPr>
          <w:b/>
          <w:bCs/>
          <w:u w:val="single"/>
        </w:rPr>
      </w:pPr>
      <w:r>
        <w:rPr>
          <w:b/>
          <w:bCs/>
          <w:u w:val="single"/>
        </w:rPr>
        <w:t>Channel model</w:t>
      </w:r>
    </w:p>
    <w:p w14:paraId="3F93A73A" w14:textId="4DB6CE51" w:rsidR="00864747" w:rsidRDefault="00864747" w:rsidP="00EA4DE4">
      <w:pPr>
        <w:widowControl w:val="0"/>
      </w:pPr>
      <w:r>
        <w:t xml:space="preserve">IAB-DU requirements should cover both backhaul and access links. Therefore, different types of </w:t>
      </w:r>
      <w:r w:rsidR="00BD3FEB">
        <w:t xml:space="preserve">propagation conditions </w:t>
      </w:r>
      <w:r>
        <w:t xml:space="preserve">might be </w:t>
      </w:r>
      <w:r w:rsidR="00BD3FEB">
        <w:t>assumed for real deployments</w:t>
      </w:r>
      <w:r>
        <w:t xml:space="preserve">. </w:t>
      </w:r>
    </w:p>
    <w:p w14:paraId="071EF9C7" w14:textId="3BE97288" w:rsidR="001E5EA3" w:rsidRDefault="001331BE" w:rsidP="00EA4DE4">
      <w:pPr>
        <w:widowControl w:val="0"/>
      </w:pPr>
      <w:r>
        <w:t>It was agreed that channel models for IAB-DU will be reused from BS requirements without introduction of new channel models. In this case the basis of channel models is:</w:t>
      </w:r>
    </w:p>
    <w:p w14:paraId="05DBB223" w14:textId="584D9D50" w:rsidR="00F65212" w:rsidRDefault="00F65212" w:rsidP="00EA4DE4">
      <w:pPr>
        <w:widowControl w:val="0"/>
      </w:pPr>
    </w:p>
    <w:p w14:paraId="3498F389" w14:textId="6AC390B4" w:rsidR="00F65212" w:rsidRDefault="00F65212" w:rsidP="00EA4DE4">
      <w:pPr>
        <w:widowControl w:val="0"/>
      </w:pPr>
    </w:p>
    <w:p w14:paraId="6B934399" w14:textId="0B95283D" w:rsidR="00F65212" w:rsidRDefault="00F65212" w:rsidP="00EA4DE4">
      <w:pPr>
        <w:widowControl w:val="0"/>
      </w:pPr>
    </w:p>
    <w:p w14:paraId="7435761D" w14:textId="77777777" w:rsidR="00F65212" w:rsidRDefault="00F65212" w:rsidP="00EA4DE4">
      <w:pPr>
        <w:widowControl w:val="0"/>
      </w:pPr>
    </w:p>
    <w:p w14:paraId="75949CED" w14:textId="6E226892" w:rsidR="00217591" w:rsidRDefault="00217591" w:rsidP="00217591">
      <w:pPr>
        <w:pStyle w:val="Caption"/>
      </w:pPr>
      <w:r>
        <w:lastRenderedPageBreak/>
        <w:t xml:space="preserve">Table </w:t>
      </w:r>
      <w:r>
        <w:fldChar w:fldCharType="begin"/>
      </w:r>
      <w:r>
        <w:instrText xml:space="preserve"> SEQ Table \* ARABIC </w:instrText>
      </w:r>
      <w:r>
        <w:fldChar w:fldCharType="separate"/>
      </w:r>
      <w:r>
        <w:rPr>
          <w:noProof/>
        </w:rPr>
        <w:t>1</w:t>
      </w:r>
      <w:r>
        <w:fldChar w:fldCharType="end"/>
      </w:r>
      <w:r>
        <w:t>. Basis for channel model reusing for IAB-DU performance requirements.</w:t>
      </w:r>
    </w:p>
    <w:tbl>
      <w:tblPr>
        <w:tblStyle w:val="GridTable5Dark-Accent5"/>
        <w:tblW w:w="0" w:type="auto"/>
        <w:tblLook w:val="04A0" w:firstRow="1" w:lastRow="0" w:firstColumn="1" w:lastColumn="0" w:noHBand="0" w:noVBand="1"/>
      </w:tblPr>
      <w:tblGrid>
        <w:gridCol w:w="1271"/>
        <w:gridCol w:w="4179"/>
        <w:gridCol w:w="4179"/>
      </w:tblGrid>
      <w:tr w:rsidR="001E5EA3" w14:paraId="7BE773A1" w14:textId="77777777" w:rsidTr="002C6C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5537F6EF" w14:textId="77777777" w:rsidR="001E5EA3" w:rsidRDefault="001E5EA3" w:rsidP="00EA4DE4">
            <w:pPr>
              <w:widowControl w:val="0"/>
            </w:pPr>
          </w:p>
        </w:tc>
        <w:tc>
          <w:tcPr>
            <w:tcW w:w="4179" w:type="dxa"/>
          </w:tcPr>
          <w:p w14:paraId="5F09066A" w14:textId="1B0BC2A5" w:rsidR="001E5EA3" w:rsidRDefault="001E5EA3" w:rsidP="00217591">
            <w:pPr>
              <w:widowControl w:val="0"/>
              <w:jc w:val="center"/>
              <w:cnfStyle w:val="100000000000" w:firstRow="1" w:lastRow="0" w:firstColumn="0" w:lastColumn="0" w:oddVBand="0" w:evenVBand="0" w:oddHBand="0" w:evenHBand="0" w:firstRowFirstColumn="0" w:firstRowLastColumn="0" w:lastRowFirstColumn="0" w:lastRowLastColumn="0"/>
            </w:pPr>
            <w:r>
              <w:t>Transform precoding disabled</w:t>
            </w:r>
          </w:p>
        </w:tc>
        <w:tc>
          <w:tcPr>
            <w:tcW w:w="4179" w:type="dxa"/>
          </w:tcPr>
          <w:p w14:paraId="7847F74E" w14:textId="1AD35195" w:rsidR="001E5EA3" w:rsidRDefault="001E5EA3" w:rsidP="00217591">
            <w:pPr>
              <w:widowControl w:val="0"/>
              <w:jc w:val="center"/>
              <w:cnfStyle w:val="100000000000" w:firstRow="1" w:lastRow="0" w:firstColumn="0" w:lastColumn="0" w:oddVBand="0" w:evenVBand="0" w:oddHBand="0" w:evenHBand="0" w:firstRowFirstColumn="0" w:firstRowLastColumn="0" w:lastRowFirstColumn="0" w:lastRowLastColumn="0"/>
            </w:pPr>
            <w:r>
              <w:t>Transform precoding enabled</w:t>
            </w:r>
          </w:p>
        </w:tc>
      </w:tr>
      <w:tr w:rsidR="001E5EA3" w14:paraId="48381641" w14:textId="77777777" w:rsidTr="002C6C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center"/>
          </w:tcPr>
          <w:p w14:paraId="794BD0E9" w14:textId="372DC2EB" w:rsidR="001E5EA3" w:rsidRDefault="001E5EA3" w:rsidP="00217591">
            <w:pPr>
              <w:widowControl w:val="0"/>
              <w:jc w:val="left"/>
            </w:pPr>
            <w:r>
              <w:t>FR1</w:t>
            </w:r>
          </w:p>
        </w:tc>
        <w:tc>
          <w:tcPr>
            <w:tcW w:w="4179" w:type="dxa"/>
            <w:vAlign w:val="center"/>
          </w:tcPr>
          <w:p w14:paraId="4AFB602C" w14:textId="77777777" w:rsidR="003B7D04" w:rsidRDefault="003B7D04" w:rsidP="002C6CD4">
            <w:pPr>
              <w:widowControl w:val="0"/>
              <w:jc w:val="center"/>
              <w:cnfStyle w:val="000000100000" w:firstRow="0" w:lastRow="0" w:firstColumn="0" w:lastColumn="0" w:oddVBand="0" w:evenVBand="0" w:oddHBand="1" w:evenHBand="0" w:firstRowFirstColumn="0" w:firstRowLastColumn="0" w:lastRowFirstColumn="0" w:lastRowLastColumn="0"/>
            </w:pPr>
            <w:r>
              <w:t>TDLB100-400 (QPSK)</w:t>
            </w:r>
          </w:p>
          <w:p w14:paraId="48ADB4BC" w14:textId="28A54397" w:rsidR="003B7D04" w:rsidRDefault="003B7D04" w:rsidP="002C6CD4">
            <w:pPr>
              <w:widowControl w:val="0"/>
              <w:jc w:val="center"/>
              <w:cnfStyle w:val="000000100000" w:firstRow="0" w:lastRow="0" w:firstColumn="0" w:lastColumn="0" w:oddVBand="0" w:evenVBand="0" w:oddHBand="1" w:evenHBand="0" w:firstRowFirstColumn="0" w:firstRowLastColumn="0" w:lastRowFirstColumn="0" w:lastRowLastColumn="0"/>
            </w:pPr>
            <w:r>
              <w:t>TDLC300-100 (16QAM)</w:t>
            </w:r>
          </w:p>
          <w:p w14:paraId="6C9A6A5C" w14:textId="5E3F97C1" w:rsidR="001E5EA3" w:rsidRDefault="001E5EA3" w:rsidP="002C6CD4">
            <w:pPr>
              <w:widowControl w:val="0"/>
              <w:jc w:val="center"/>
              <w:cnfStyle w:val="000000100000" w:firstRow="0" w:lastRow="0" w:firstColumn="0" w:lastColumn="0" w:oddVBand="0" w:evenVBand="0" w:oddHBand="1" w:evenHBand="0" w:firstRowFirstColumn="0" w:firstRowLastColumn="0" w:lastRowFirstColumn="0" w:lastRowLastColumn="0"/>
            </w:pPr>
            <w:r>
              <w:t>TDLA30-10</w:t>
            </w:r>
            <w:r w:rsidR="003B7D04">
              <w:t xml:space="preserve"> (64QAM)</w:t>
            </w:r>
          </w:p>
        </w:tc>
        <w:tc>
          <w:tcPr>
            <w:tcW w:w="4179" w:type="dxa"/>
            <w:vAlign w:val="center"/>
          </w:tcPr>
          <w:p w14:paraId="7AEF4507" w14:textId="3DFC0401" w:rsidR="001E5EA3" w:rsidRDefault="001E5EA3" w:rsidP="002C6CD4">
            <w:pPr>
              <w:widowControl w:val="0"/>
              <w:jc w:val="center"/>
              <w:cnfStyle w:val="000000100000" w:firstRow="0" w:lastRow="0" w:firstColumn="0" w:lastColumn="0" w:oddVBand="0" w:evenVBand="0" w:oddHBand="1" w:evenHBand="0" w:firstRowFirstColumn="0" w:firstRowLastColumn="0" w:lastRowFirstColumn="0" w:lastRowLastColumn="0"/>
            </w:pPr>
            <w:r>
              <w:t>TDLB100-400</w:t>
            </w:r>
            <w:r w:rsidR="003B7D04">
              <w:t xml:space="preserve"> (QPSK)</w:t>
            </w:r>
          </w:p>
        </w:tc>
      </w:tr>
      <w:tr w:rsidR="001E5EA3" w14:paraId="15F49FF0" w14:textId="77777777" w:rsidTr="002C6CD4">
        <w:tc>
          <w:tcPr>
            <w:cnfStyle w:val="001000000000" w:firstRow="0" w:lastRow="0" w:firstColumn="1" w:lastColumn="0" w:oddVBand="0" w:evenVBand="0" w:oddHBand="0" w:evenHBand="0" w:firstRowFirstColumn="0" w:firstRowLastColumn="0" w:lastRowFirstColumn="0" w:lastRowLastColumn="0"/>
            <w:tcW w:w="1271" w:type="dxa"/>
            <w:vAlign w:val="center"/>
          </w:tcPr>
          <w:p w14:paraId="2ABA8711" w14:textId="4618D31D" w:rsidR="001E5EA3" w:rsidRDefault="001E5EA3" w:rsidP="00217591">
            <w:pPr>
              <w:widowControl w:val="0"/>
              <w:jc w:val="left"/>
            </w:pPr>
            <w:r>
              <w:t>FR2</w:t>
            </w:r>
          </w:p>
        </w:tc>
        <w:tc>
          <w:tcPr>
            <w:tcW w:w="4179" w:type="dxa"/>
            <w:vAlign w:val="center"/>
          </w:tcPr>
          <w:p w14:paraId="5B04011F" w14:textId="329DA953" w:rsidR="003B7D04" w:rsidRDefault="003B7D04" w:rsidP="002C6CD4">
            <w:pPr>
              <w:widowControl w:val="0"/>
              <w:jc w:val="center"/>
              <w:cnfStyle w:val="000000000000" w:firstRow="0" w:lastRow="0" w:firstColumn="0" w:lastColumn="0" w:oddVBand="0" w:evenVBand="0" w:oddHBand="0" w:evenHBand="0" w:firstRowFirstColumn="0" w:firstRowLastColumn="0" w:lastRowFirstColumn="0" w:lastRowLastColumn="0"/>
            </w:pPr>
            <w:r>
              <w:t>TDLA30-300 (QPSK, 16QAM)</w:t>
            </w:r>
          </w:p>
          <w:p w14:paraId="50DC6DA4" w14:textId="43ABD881" w:rsidR="001E5EA3" w:rsidRDefault="00431403" w:rsidP="002C6CD4">
            <w:pPr>
              <w:widowControl w:val="0"/>
              <w:jc w:val="center"/>
              <w:cnfStyle w:val="000000000000" w:firstRow="0" w:lastRow="0" w:firstColumn="0" w:lastColumn="0" w:oddVBand="0" w:evenVBand="0" w:oddHBand="0" w:evenHBand="0" w:firstRowFirstColumn="0" w:firstRowLastColumn="0" w:lastRowFirstColumn="0" w:lastRowLastColumn="0"/>
            </w:pPr>
            <w:r>
              <w:t>TDLA30-75</w:t>
            </w:r>
            <w:r w:rsidR="003B7D04">
              <w:t xml:space="preserve"> (64QAM)</w:t>
            </w:r>
          </w:p>
        </w:tc>
        <w:tc>
          <w:tcPr>
            <w:tcW w:w="4179" w:type="dxa"/>
            <w:vAlign w:val="center"/>
          </w:tcPr>
          <w:p w14:paraId="35D4A3A5" w14:textId="46BFF1CA" w:rsidR="00431403" w:rsidRDefault="00431403" w:rsidP="002C6CD4">
            <w:pPr>
              <w:widowControl w:val="0"/>
              <w:jc w:val="center"/>
              <w:cnfStyle w:val="000000000000" w:firstRow="0" w:lastRow="0" w:firstColumn="0" w:lastColumn="0" w:oddVBand="0" w:evenVBand="0" w:oddHBand="0" w:evenHBand="0" w:firstRowFirstColumn="0" w:firstRowLastColumn="0" w:lastRowFirstColumn="0" w:lastRowLastColumn="0"/>
            </w:pPr>
            <w:r>
              <w:t>TDLA30-300</w:t>
            </w:r>
            <w:r w:rsidR="003B7D04">
              <w:t xml:space="preserve"> (QPSK)</w:t>
            </w:r>
          </w:p>
          <w:p w14:paraId="33671DF2" w14:textId="22F7BC12" w:rsidR="001E5EA3" w:rsidRDefault="001E5EA3" w:rsidP="002C6CD4">
            <w:pPr>
              <w:widowControl w:val="0"/>
              <w:jc w:val="center"/>
              <w:cnfStyle w:val="000000000000" w:firstRow="0" w:lastRow="0" w:firstColumn="0" w:lastColumn="0" w:oddVBand="0" w:evenVBand="0" w:oddHBand="0" w:evenHBand="0" w:firstRowFirstColumn="0" w:firstRowLastColumn="0" w:lastRowFirstColumn="0" w:lastRowLastColumn="0"/>
            </w:pPr>
          </w:p>
        </w:tc>
      </w:tr>
    </w:tbl>
    <w:p w14:paraId="33AE7F3F" w14:textId="69A6E268" w:rsidR="001E5EA3" w:rsidRDefault="001331BE" w:rsidP="001331BE">
      <w:pPr>
        <w:widowControl w:val="0"/>
      </w:pPr>
      <w:r>
        <w:t>To reduce the test efforts the following options o</w:t>
      </w:r>
      <w:r w:rsidR="001E5EA3">
        <w:t xml:space="preserve">n channel model prioritization </w:t>
      </w:r>
      <w:r>
        <w:t>were proposed</w:t>
      </w:r>
      <w:r w:rsidR="001E5EA3">
        <w:t>:</w:t>
      </w:r>
    </w:p>
    <w:tbl>
      <w:tblPr>
        <w:tblStyle w:val="TableGrid"/>
        <w:tblW w:w="0" w:type="auto"/>
        <w:tblLook w:val="04A0" w:firstRow="1" w:lastRow="0" w:firstColumn="1" w:lastColumn="0" w:noHBand="0" w:noVBand="1"/>
      </w:tblPr>
      <w:tblGrid>
        <w:gridCol w:w="9629"/>
      </w:tblGrid>
      <w:tr w:rsidR="001E5EA3" w14:paraId="756BAD05" w14:textId="77777777" w:rsidTr="001E5EA3">
        <w:tc>
          <w:tcPr>
            <w:tcW w:w="9629" w:type="dxa"/>
          </w:tcPr>
          <w:p w14:paraId="70E2A7F7" w14:textId="77777777" w:rsidR="001E5EA3" w:rsidRPr="001E5EA3" w:rsidRDefault="001E5EA3" w:rsidP="001E5EA3">
            <w:pPr>
              <w:pStyle w:val="ListParagraph"/>
              <w:widowControl w:val="0"/>
              <w:numPr>
                <w:ilvl w:val="0"/>
                <w:numId w:val="19"/>
              </w:numPr>
              <w:rPr>
                <w:rFonts w:ascii="Times New Roman" w:hAnsi="Times New Roman"/>
                <w:i/>
                <w:iCs/>
                <w:sz w:val="20"/>
                <w:szCs w:val="20"/>
              </w:rPr>
            </w:pPr>
            <w:bookmarkStart w:id="2" w:name="_Hlk60961946"/>
            <w:r w:rsidRPr="001E5EA3">
              <w:rPr>
                <w:rFonts w:ascii="Times New Roman" w:hAnsi="Times New Roman"/>
                <w:i/>
                <w:iCs/>
                <w:sz w:val="20"/>
                <w:szCs w:val="20"/>
              </w:rPr>
              <w:t>Option 1: Skip cases with TDLB100-400 Low and TDLC300-100 Low for FR1 and TDLA30-300 Low for FR2. If there are no cases with other propagation conditions, replace the propagation conditions with TDLA30-10 Low for FR1 and TDLA30-75 Low for FR2.</w:t>
            </w:r>
          </w:p>
          <w:p w14:paraId="4252A50B" w14:textId="77777777" w:rsidR="001E5EA3" w:rsidRPr="001E5EA3" w:rsidRDefault="001E5EA3" w:rsidP="001E5EA3">
            <w:pPr>
              <w:pStyle w:val="ListParagraph"/>
              <w:widowControl w:val="0"/>
              <w:numPr>
                <w:ilvl w:val="0"/>
                <w:numId w:val="19"/>
              </w:numPr>
              <w:rPr>
                <w:rFonts w:ascii="Times New Roman" w:hAnsi="Times New Roman"/>
                <w:i/>
                <w:iCs/>
                <w:sz w:val="20"/>
                <w:szCs w:val="20"/>
              </w:rPr>
            </w:pPr>
            <w:r w:rsidRPr="001E5EA3">
              <w:rPr>
                <w:rFonts w:ascii="Times New Roman" w:hAnsi="Times New Roman"/>
                <w:i/>
                <w:iCs/>
                <w:sz w:val="20"/>
                <w:szCs w:val="20"/>
              </w:rPr>
              <w:t>Option 2: Skip cases with TDLB100-400 Low and TDLC300-100 Low for FR1 and TDLA30-300 Low for FR2, if there are alternatives.</w:t>
            </w:r>
          </w:p>
          <w:p w14:paraId="7728DB22" w14:textId="779269A4" w:rsidR="001E5EA3" w:rsidRDefault="001E5EA3" w:rsidP="001E5EA3">
            <w:pPr>
              <w:pStyle w:val="ListParagraph"/>
              <w:widowControl w:val="0"/>
              <w:numPr>
                <w:ilvl w:val="0"/>
                <w:numId w:val="19"/>
              </w:numPr>
            </w:pPr>
            <w:r w:rsidRPr="001E5EA3">
              <w:rPr>
                <w:rFonts w:ascii="Times New Roman" w:hAnsi="Times New Roman"/>
                <w:i/>
                <w:iCs/>
                <w:sz w:val="20"/>
                <w:szCs w:val="20"/>
              </w:rPr>
              <w:t>Option 3: All existing channel models used in Rel-15 BS testing should be re-used for IAB-DU and applicability rules can be considered to allow reduction of testing load</w:t>
            </w:r>
          </w:p>
        </w:tc>
      </w:tr>
    </w:tbl>
    <w:bookmarkEnd w:id="2"/>
    <w:p w14:paraId="730A7619" w14:textId="585ADECC" w:rsidR="00CD05A3" w:rsidRDefault="00CD05A3" w:rsidP="001331BE">
      <w:pPr>
        <w:widowControl w:val="0"/>
      </w:pPr>
      <w:r>
        <w:t xml:space="preserve">For test cases with transform precoding there </w:t>
      </w:r>
      <w:r w:rsidR="003B7D04">
        <w:t>is</w:t>
      </w:r>
      <w:r>
        <w:t xml:space="preserve"> only one channel model for </w:t>
      </w:r>
      <w:r w:rsidR="003B7D04">
        <w:t xml:space="preserve">both </w:t>
      </w:r>
      <w:r>
        <w:t>FR</w:t>
      </w:r>
      <w:r w:rsidR="003B7D04">
        <w:t>1</w:t>
      </w:r>
      <w:r>
        <w:t xml:space="preserve"> and FR</w:t>
      </w:r>
      <w:r w:rsidR="003B7D04">
        <w:t>2</w:t>
      </w:r>
      <w:r>
        <w:t>. Since we are not going to introduce new channel models there is no need to make any prioritizations.</w:t>
      </w:r>
    </w:p>
    <w:p w14:paraId="20A91E93" w14:textId="4A3AC2B3" w:rsidR="00EE2F3F" w:rsidRDefault="00CD05A3" w:rsidP="001331BE">
      <w:pPr>
        <w:widowControl w:val="0"/>
        <w:rPr>
          <w:lang w:val="en-US"/>
        </w:rPr>
      </w:pPr>
      <w:r>
        <w:t xml:space="preserve">Same time </w:t>
      </w:r>
      <w:r w:rsidR="003B6FD8">
        <w:t>in test case</w:t>
      </w:r>
      <w:r w:rsidR="00217591">
        <w:t>s</w:t>
      </w:r>
      <w:r w:rsidR="003B6FD8">
        <w:t xml:space="preserve"> without transform precoding there are </w:t>
      </w:r>
      <w:r>
        <w:t xml:space="preserve">several channel models </w:t>
      </w:r>
      <w:r w:rsidR="009F24C2">
        <w:t xml:space="preserve">which cover </w:t>
      </w:r>
      <w:r w:rsidR="003B6FD8">
        <w:t>a wide range of</w:t>
      </w:r>
      <w:r w:rsidR="003B6FD8">
        <w:rPr>
          <w:lang w:val="en-US"/>
        </w:rPr>
        <w:t xml:space="preserve"> delay spread</w:t>
      </w:r>
      <w:r w:rsidR="003B7D04">
        <w:rPr>
          <w:lang w:val="en-US"/>
        </w:rPr>
        <w:t>s</w:t>
      </w:r>
      <w:r w:rsidR="003B6FD8">
        <w:rPr>
          <w:lang w:val="en-US"/>
        </w:rPr>
        <w:t xml:space="preserve"> and UE mobilit</w:t>
      </w:r>
      <w:r w:rsidR="003B7D04">
        <w:rPr>
          <w:lang w:val="en-US"/>
        </w:rPr>
        <w:t>ies</w:t>
      </w:r>
      <w:r w:rsidR="003B6FD8">
        <w:rPr>
          <w:lang w:val="en-US"/>
        </w:rPr>
        <w:t xml:space="preserve">. </w:t>
      </w:r>
      <w:r w:rsidR="00217591">
        <w:rPr>
          <w:lang w:val="en-US"/>
        </w:rPr>
        <w:t>Also</w:t>
      </w:r>
      <w:r w:rsidR="00EE2F3F">
        <w:rPr>
          <w:lang w:val="en-US"/>
        </w:rPr>
        <w:t>, each of them corresponds to different MCS values. For IAB-DU it is beneficial to have testing of different SNR regions considering access link to UE.</w:t>
      </w:r>
      <w:r w:rsidR="00EE2F3F" w:rsidRPr="00EE2F3F">
        <w:rPr>
          <w:lang w:val="en-US"/>
        </w:rPr>
        <w:t xml:space="preserve"> </w:t>
      </w:r>
    </w:p>
    <w:p w14:paraId="018316FB" w14:textId="789DB09F" w:rsidR="00E37E0E" w:rsidRPr="00EE2F3F" w:rsidRDefault="00EE2F3F" w:rsidP="001331BE">
      <w:pPr>
        <w:widowControl w:val="0"/>
        <w:rPr>
          <w:lang w:val="en-US"/>
        </w:rPr>
      </w:pPr>
      <w:r>
        <w:rPr>
          <w:lang w:val="en-US"/>
        </w:rPr>
        <w:t xml:space="preserve">If we look at Rel-15 simulation results campaign, we can observe a higher than 3 dB span for ideal results in many test cases across all channel models and MCS combinations. It means that from BS implementation point </w:t>
      </w:r>
      <w:r w:rsidR="00DE2BA4">
        <w:rPr>
          <w:lang w:val="en-US"/>
        </w:rPr>
        <w:t xml:space="preserve">of view there are different optimization options for </w:t>
      </w:r>
      <w:r w:rsidR="00217591">
        <w:rPr>
          <w:lang w:val="en-US"/>
        </w:rPr>
        <w:t xml:space="preserve">different </w:t>
      </w:r>
      <w:r w:rsidR="00DE2BA4">
        <w:rPr>
          <w:lang w:val="en-US"/>
        </w:rPr>
        <w:t xml:space="preserve">channel models. In this case there are no reasons to exclude any </w:t>
      </w:r>
      <w:r w:rsidR="001D364F">
        <w:rPr>
          <w:lang w:val="en-US"/>
        </w:rPr>
        <w:t>of them</w:t>
      </w:r>
      <w:r w:rsidR="00DE2BA4">
        <w:rPr>
          <w:lang w:val="en-US"/>
        </w:rPr>
        <w:t xml:space="preserve"> from testing </w:t>
      </w:r>
      <w:r w:rsidR="001D364F">
        <w:rPr>
          <w:lang w:val="en-US"/>
        </w:rPr>
        <w:t>of</w:t>
      </w:r>
      <w:r w:rsidR="00DE2BA4">
        <w:rPr>
          <w:lang w:val="en-US"/>
        </w:rPr>
        <w:t xml:space="preserve"> IAB-DU.</w:t>
      </w:r>
    </w:p>
    <w:p w14:paraId="2A30838A" w14:textId="3F791234" w:rsidR="00DE2BA4" w:rsidRDefault="00DE2BA4" w:rsidP="00DE2BA4">
      <w:pPr>
        <w:pStyle w:val="Proposal1"/>
      </w:pPr>
      <w:bookmarkStart w:id="3" w:name="_Hlk61538624"/>
      <w:r w:rsidRPr="001F63CF">
        <w:t>Proposal #</w:t>
      </w:r>
      <w:r w:rsidR="00F65212">
        <w:t>2</w:t>
      </w:r>
      <w:r w:rsidRPr="001F63CF">
        <w:t xml:space="preserve">: </w:t>
      </w:r>
      <w:r w:rsidRPr="001F63CF">
        <w:tab/>
      </w:r>
      <w:r w:rsidRPr="00864747">
        <w:t>All existing channel models used in Rel-15 BS testing should be re-used for IAB-DU</w:t>
      </w:r>
      <w:r>
        <w:t>.</w:t>
      </w:r>
      <w:bookmarkEnd w:id="3"/>
      <w:r>
        <w:t xml:space="preserve"> </w:t>
      </w:r>
    </w:p>
    <w:p w14:paraId="2537596B" w14:textId="77777777" w:rsidR="00EC4AE0" w:rsidRDefault="00EC4AE0" w:rsidP="00EA4DE4">
      <w:pPr>
        <w:widowControl w:val="0"/>
        <w:rPr>
          <w:b/>
          <w:bCs/>
          <w:u w:val="single"/>
        </w:rPr>
      </w:pPr>
    </w:p>
    <w:p w14:paraId="323FB330" w14:textId="576E1218" w:rsidR="00EA4DE4" w:rsidRDefault="00EA4DE4" w:rsidP="00EA4DE4">
      <w:pPr>
        <w:widowControl w:val="0"/>
        <w:rPr>
          <w:b/>
          <w:bCs/>
          <w:u w:val="single"/>
        </w:rPr>
      </w:pPr>
      <w:r>
        <w:rPr>
          <w:b/>
          <w:bCs/>
          <w:u w:val="single"/>
        </w:rPr>
        <w:t>Inclusion of CA notes</w:t>
      </w:r>
    </w:p>
    <w:p w14:paraId="34B913B6" w14:textId="738F7233" w:rsidR="00EC4AE0" w:rsidRPr="00EC4AE0" w:rsidRDefault="00EC4AE0" w:rsidP="00EA4DE4">
      <w:pPr>
        <w:widowControl w:val="0"/>
        <w:rPr>
          <w:lang w:val="en-US"/>
        </w:rPr>
      </w:pPr>
      <w:r w:rsidRPr="00EC4AE0">
        <w:rPr>
          <w:lang w:val="en-US"/>
        </w:rPr>
        <w:t>The following options were raised on previous meeting:</w:t>
      </w:r>
    </w:p>
    <w:tbl>
      <w:tblPr>
        <w:tblStyle w:val="TableGrid"/>
        <w:tblW w:w="0" w:type="auto"/>
        <w:tblLook w:val="04A0" w:firstRow="1" w:lastRow="0" w:firstColumn="1" w:lastColumn="0" w:noHBand="0" w:noVBand="1"/>
      </w:tblPr>
      <w:tblGrid>
        <w:gridCol w:w="9629"/>
      </w:tblGrid>
      <w:tr w:rsidR="00EC4AE0" w14:paraId="0FC07CBC" w14:textId="77777777" w:rsidTr="00147776">
        <w:tc>
          <w:tcPr>
            <w:tcW w:w="9629" w:type="dxa"/>
          </w:tcPr>
          <w:p w14:paraId="42E0B773" w14:textId="77777777" w:rsidR="00EC4AE0" w:rsidRPr="00EC4AE0" w:rsidRDefault="00EC4AE0" w:rsidP="00EC4AE0">
            <w:pPr>
              <w:pStyle w:val="ListParagraph"/>
              <w:widowControl w:val="0"/>
              <w:numPr>
                <w:ilvl w:val="0"/>
                <w:numId w:val="19"/>
              </w:numPr>
              <w:rPr>
                <w:rFonts w:ascii="Times New Roman" w:hAnsi="Times New Roman"/>
                <w:i/>
                <w:iCs/>
                <w:sz w:val="20"/>
                <w:szCs w:val="20"/>
              </w:rPr>
            </w:pPr>
            <w:r w:rsidRPr="00EC4AE0">
              <w:rPr>
                <w:rFonts w:ascii="Times New Roman" w:hAnsi="Times New Roman"/>
                <w:i/>
                <w:iCs/>
                <w:sz w:val="20"/>
                <w:szCs w:val="20"/>
              </w:rPr>
              <w:t>Inclusion of CA notes</w:t>
            </w:r>
          </w:p>
          <w:p w14:paraId="41EA8EAB" w14:textId="77777777" w:rsidR="00EC4AE0" w:rsidRPr="00EC4AE0" w:rsidRDefault="00EC4AE0" w:rsidP="00EC4AE0">
            <w:pPr>
              <w:pStyle w:val="ListParagraph"/>
              <w:widowControl w:val="0"/>
              <w:numPr>
                <w:ilvl w:val="1"/>
                <w:numId w:val="19"/>
              </w:numPr>
              <w:rPr>
                <w:rFonts w:ascii="Times New Roman" w:hAnsi="Times New Roman"/>
                <w:i/>
                <w:iCs/>
                <w:sz w:val="20"/>
                <w:szCs w:val="20"/>
              </w:rPr>
            </w:pPr>
            <w:r w:rsidRPr="00EC4AE0">
              <w:rPr>
                <w:rFonts w:ascii="Times New Roman" w:hAnsi="Times New Roman"/>
                <w:i/>
                <w:iCs/>
                <w:sz w:val="20"/>
                <w:szCs w:val="20"/>
              </w:rPr>
              <w:t>Option 1: Do not include performance requirements or text related to CA.</w:t>
            </w:r>
          </w:p>
          <w:p w14:paraId="474DD3BB" w14:textId="5E70126E" w:rsidR="00EC4AE0" w:rsidRDefault="00EC4AE0" w:rsidP="00EC4AE0">
            <w:pPr>
              <w:pStyle w:val="ListParagraph"/>
              <w:widowControl w:val="0"/>
              <w:numPr>
                <w:ilvl w:val="1"/>
                <w:numId w:val="19"/>
              </w:numPr>
            </w:pPr>
            <w:r w:rsidRPr="00EC4AE0">
              <w:rPr>
                <w:rFonts w:ascii="Times New Roman" w:eastAsia="SimSun" w:hAnsi="Times New Roman"/>
                <w:i/>
                <w:iCs/>
                <w:sz w:val="20"/>
                <w:szCs w:val="20"/>
                <w:lang w:val="en-GB"/>
              </w:rPr>
              <w:t>Option 2: Follow Rel-15 approach and clarify that CA can be operated but is tested per carrier</w:t>
            </w:r>
          </w:p>
        </w:tc>
      </w:tr>
    </w:tbl>
    <w:p w14:paraId="67D951F3" w14:textId="7A0B6249" w:rsidR="00272DC6" w:rsidRPr="00272DC6" w:rsidRDefault="00EC4AE0" w:rsidP="00EC4AE0">
      <w:pPr>
        <w:widowControl w:val="0"/>
      </w:pPr>
      <w:r>
        <w:rPr>
          <w:lang w:val="en-US"/>
        </w:rPr>
        <w:t>F</w:t>
      </w:r>
      <w:r w:rsidRPr="00EC4AE0">
        <w:rPr>
          <w:lang w:val="en-US"/>
        </w:rPr>
        <w:t xml:space="preserve">rom IAB-DU point of view </w:t>
      </w:r>
      <w:r>
        <w:rPr>
          <w:lang w:val="en-US"/>
        </w:rPr>
        <w:t>t</w:t>
      </w:r>
      <w:r w:rsidR="00864747" w:rsidRPr="00EC4AE0">
        <w:rPr>
          <w:lang w:val="en-US"/>
        </w:rPr>
        <w:t xml:space="preserve">here are no limitations on CA operation. In this case it is reasonable to reuse BS approach </w:t>
      </w:r>
      <w:r>
        <w:rPr>
          <w:lang w:val="en-US"/>
        </w:rPr>
        <w:t>to test CA per CC basis. S</w:t>
      </w:r>
      <w:r w:rsidR="00864747" w:rsidRPr="00EC4AE0">
        <w:rPr>
          <w:lang w:val="en-US"/>
        </w:rPr>
        <w:t xml:space="preserve">imilar note as </w:t>
      </w:r>
      <w:r w:rsidR="00F42655">
        <w:rPr>
          <w:lang w:val="en-US"/>
        </w:rPr>
        <w:t>in</w:t>
      </w:r>
      <w:r w:rsidR="00864747" w:rsidRPr="00EC4AE0">
        <w:rPr>
          <w:lang w:val="en-US"/>
        </w:rPr>
        <w:t xml:space="preserve"> BS specification</w:t>
      </w:r>
      <w:r>
        <w:rPr>
          <w:lang w:val="en-US"/>
        </w:rPr>
        <w:t xml:space="preserve"> should be added </w:t>
      </w:r>
      <w:r w:rsidRPr="00EC4AE0">
        <w:rPr>
          <w:lang w:val="en-US"/>
        </w:rPr>
        <w:t>to IAB specification</w:t>
      </w:r>
      <w:r>
        <w:rPr>
          <w:lang w:val="en-US"/>
        </w:rPr>
        <w:t>:</w:t>
      </w:r>
      <w:r>
        <w:rPr>
          <w:lang w:val="en-US"/>
        </w:rPr>
        <w:br/>
      </w:r>
      <w:r w:rsidR="00864747">
        <w:t>“</w:t>
      </w:r>
      <w:r w:rsidR="00864747" w:rsidRPr="00864747">
        <w:rPr>
          <w:i/>
          <w:iCs/>
        </w:rPr>
        <w:t>The tests for carrier aggregation shall be carried out according to the declaration. Unless otherwise stated, the tests for carrier aggregation shall apply only for PUSCH with transform precoding disabled, and shall be conducted on per component carrier basis</w:t>
      </w:r>
      <w:r w:rsidR="00864747">
        <w:t>”</w:t>
      </w:r>
    </w:p>
    <w:p w14:paraId="1624B08D" w14:textId="284B2E41" w:rsidR="00EC4AE0" w:rsidRDefault="00EC4AE0" w:rsidP="00EC4AE0">
      <w:pPr>
        <w:pStyle w:val="Proposal1"/>
      </w:pPr>
      <w:r w:rsidRPr="001F63CF">
        <w:t>Proposal #</w:t>
      </w:r>
      <w:r w:rsidR="00F65212">
        <w:t>3</w:t>
      </w:r>
      <w:r w:rsidRPr="001F63CF">
        <w:t xml:space="preserve">: </w:t>
      </w:r>
      <w:r w:rsidRPr="001F63CF">
        <w:tab/>
      </w:r>
      <w:r w:rsidRPr="00EC4AE0">
        <w:t>Follow Rel-15 approach and clarify that CA can be operated but is tested per carrier</w:t>
      </w:r>
      <w:r>
        <w:t xml:space="preserve">. </w:t>
      </w:r>
    </w:p>
    <w:p w14:paraId="186693C5" w14:textId="50CA06A0" w:rsidR="00EA4DE4" w:rsidRDefault="00EA4DE4" w:rsidP="00EA4DE4"/>
    <w:p w14:paraId="7E2EFFA8" w14:textId="2A490062" w:rsidR="00EA4DE4" w:rsidRDefault="00EA4DE4" w:rsidP="00EA4DE4">
      <w:pPr>
        <w:widowControl w:val="0"/>
        <w:rPr>
          <w:b/>
          <w:bCs/>
          <w:u w:val="single"/>
        </w:rPr>
      </w:pPr>
      <w:r>
        <w:rPr>
          <w:b/>
          <w:bCs/>
          <w:u w:val="single"/>
        </w:rPr>
        <w:t>MCS</w:t>
      </w:r>
    </w:p>
    <w:tbl>
      <w:tblPr>
        <w:tblStyle w:val="TableGrid"/>
        <w:tblW w:w="0" w:type="auto"/>
        <w:tblLook w:val="04A0" w:firstRow="1" w:lastRow="0" w:firstColumn="1" w:lastColumn="0" w:noHBand="0" w:noVBand="1"/>
      </w:tblPr>
      <w:tblGrid>
        <w:gridCol w:w="9629"/>
      </w:tblGrid>
      <w:tr w:rsidR="00DE2BA4" w14:paraId="77C5D520" w14:textId="77777777" w:rsidTr="00DE2BA4">
        <w:tc>
          <w:tcPr>
            <w:tcW w:w="9629" w:type="dxa"/>
          </w:tcPr>
          <w:p w14:paraId="433A989D" w14:textId="77777777" w:rsidR="00DE2BA4" w:rsidRPr="00DE2BA4" w:rsidRDefault="00DE2BA4" w:rsidP="00DE2BA4">
            <w:pPr>
              <w:widowControl w:val="0"/>
              <w:rPr>
                <w:i/>
                <w:iCs/>
              </w:rPr>
            </w:pPr>
            <w:bookmarkStart w:id="4" w:name="_Hlk61009283"/>
            <w:r w:rsidRPr="00DE2BA4">
              <w:rPr>
                <w:i/>
                <w:iCs/>
              </w:rPr>
              <w:t>PUSCH MCS</w:t>
            </w:r>
          </w:p>
          <w:p w14:paraId="39FD9CD9" w14:textId="77777777" w:rsidR="00DE2BA4" w:rsidRPr="00DE2BA4" w:rsidRDefault="00DE2BA4" w:rsidP="00DE2BA4">
            <w:pPr>
              <w:pStyle w:val="ListParagraph"/>
              <w:widowControl w:val="0"/>
              <w:numPr>
                <w:ilvl w:val="0"/>
                <w:numId w:val="19"/>
              </w:numPr>
              <w:rPr>
                <w:rFonts w:ascii="Times New Roman" w:hAnsi="Times New Roman"/>
                <w:i/>
                <w:iCs/>
                <w:sz w:val="20"/>
                <w:szCs w:val="20"/>
              </w:rPr>
            </w:pPr>
            <w:r w:rsidRPr="00DE2BA4">
              <w:rPr>
                <w:rFonts w:ascii="Times New Roman" w:hAnsi="Times New Roman"/>
                <w:i/>
                <w:iCs/>
                <w:sz w:val="20"/>
                <w:szCs w:val="20"/>
              </w:rPr>
              <w:t>Option 1: Do not use QPSK and 16QAM MCS.</w:t>
            </w:r>
          </w:p>
          <w:p w14:paraId="5176F431" w14:textId="77777777" w:rsidR="00DE2BA4" w:rsidRPr="00DE2BA4" w:rsidRDefault="00DE2BA4" w:rsidP="00DE2BA4">
            <w:pPr>
              <w:pStyle w:val="ListParagraph"/>
              <w:widowControl w:val="0"/>
              <w:numPr>
                <w:ilvl w:val="0"/>
                <w:numId w:val="19"/>
              </w:numPr>
              <w:rPr>
                <w:rFonts w:ascii="Times New Roman" w:hAnsi="Times New Roman"/>
                <w:i/>
                <w:iCs/>
                <w:sz w:val="20"/>
                <w:szCs w:val="20"/>
              </w:rPr>
            </w:pPr>
            <w:r w:rsidRPr="00DE2BA4">
              <w:rPr>
                <w:rFonts w:ascii="Times New Roman" w:hAnsi="Times New Roman"/>
                <w:i/>
                <w:iCs/>
                <w:sz w:val="20"/>
                <w:szCs w:val="20"/>
              </w:rPr>
              <w:t>Option 2: Keep all MCS from BS demodulation requirements.</w:t>
            </w:r>
          </w:p>
          <w:p w14:paraId="3FC8071E" w14:textId="5B82E0F4" w:rsidR="00DE2BA4" w:rsidRDefault="00DE2BA4" w:rsidP="00DE2BA4">
            <w:pPr>
              <w:pStyle w:val="ListParagraph"/>
              <w:widowControl w:val="0"/>
              <w:numPr>
                <w:ilvl w:val="0"/>
                <w:numId w:val="19"/>
              </w:numPr>
              <w:rPr>
                <w:b/>
                <w:bCs/>
                <w:u w:val="single"/>
              </w:rPr>
            </w:pPr>
            <w:r w:rsidRPr="00DE2BA4">
              <w:rPr>
                <w:rFonts w:ascii="Times New Roman" w:hAnsi="Times New Roman"/>
                <w:i/>
                <w:iCs/>
                <w:sz w:val="20"/>
                <w:szCs w:val="20"/>
              </w:rPr>
              <w:lastRenderedPageBreak/>
              <w:t>Option 3: Keep all MCS for BS demodulation requirements, but with applicability rule that IAB-DU only needs to pass the test with the supported highest modulation order based on BS declaration.</w:t>
            </w:r>
          </w:p>
        </w:tc>
      </w:tr>
    </w:tbl>
    <w:bookmarkEnd w:id="4"/>
    <w:p w14:paraId="5C3CA769" w14:textId="28B42C93" w:rsidR="00EC4AE0" w:rsidRPr="00B711B2" w:rsidRDefault="00EC4AE0" w:rsidP="00EA4DE4">
      <w:pPr>
        <w:widowControl w:val="0"/>
      </w:pPr>
      <w:r w:rsidRPr="00B711B2">
        <w:lastRenderedPageBreak/>
        <w:t xml:space="preserve">Considering that IAB-DU serves both </w:t>
      </w:r>
      <w:r w:rsidR="00872354" w:rsidRPr="00B711B2">
        <w:t xml:space="preserve">backhaul </w:t>
      </w:r>
      <w:r w:rsidRPr="00B711B2">
        <w:t xml:space="preserve">MT and </w:t>
      </w:r>
      <w:r w:rsidR="00872354" w:rsidRPr="00B711B2">
        <w:t>access UE</w:t>
      </w:r>
      <w:r w:rsidRPr="00B711B2">
        <w:t xml:space="preserve">, not only high order modulations will be </w:t>
      </w:r>
      <w:r w:rsidR="00872354" w:rsidRPr="00B711B2">
        <w:t>configured</w:t>
      </w:r>
      <w:r w:rsidRPr="00B711B2">
        <w:t xml:space="preserve"> in real field. In this case to have sufficient test coverage from different SNR points perspective we suggest keeping all </w:t>
      </w:r>
      <w:r w:rsidR="00872354" w:rsidRPr="00B711B2">
        <w:t>modulation formats.</w:t>
      </w:r>
    </w:p>
    <w:p w14:paraId="67F1E472" w14:textId="3FFFAC3D" w:rsidR="00DE2BA4" w:rsidRDefault="00DE2BA4" w:rsidP="00DE2BA4">
      <w:pPr>
        <w:pStyle w:val="Proposal1"/>
      </w:pPr>
      <w:r w:rsidRPr="001F63CF">
        <w:t>Proposal #</w:t>
      </w:r>
      <w:r w:rsidR="00F65212">
        <w:t>4</w:t>
      </w:r>
      <w:r w:rsidRPr="001F63CF">
        <w:t xml:space="preserve">: </w:t>
      </w:r>
      <w:r w:rsidRPr="001F63CF">
        <w:tab/>
      </w:r>
      <w:r w:rsidRPr="00DE2BA4">
        <w:t xml:space="preserve">Keep all MCS from BS demodulation </w:t>
      </w:r>
      <w:r w:rsidR="002C6CD4" w:rsidRPr="00DE2BA4">
        <w:t>requirements</w:t>
      </w:r>
      <w:r w:rsidR="002C6CD4">
        <w:t xml:space="preserve"> for IAB-DU demodulation requirements.</w:t>
      </w:r>
    </w:p>
    <w:p w14:paraId="6F9EA2C6" w14:textId="77777777" w:rsidR="002C6CD4" w:rsidRDefault="002C6CD4" w:rsidP="00EA4DE4">
      <w:pPr>
        <w:widowControl w:val="0"/>
      </w:pPr>
    </w:p>
    <w:p w14:paraId="716D0393" w14:textId="4831B601" w:rsidR="00EA4DE4" w:rsidRDefault="002B1143" w:rsidP="00EA4DE4">
      <w:pPr>
        <w:rPr>
          <w:b/>
          <w:bCs/>
          <w:u w:val="single"/>
        </w:rPr>
      </w:pPr>
      <w:r w:rsidRPr="002B1143">
        <w:rPr>
          <w:b/>
          <w:bCs/>
          <w:u w:val="single"/>
        </w:rPr>
        <w:t>Test requirements for PUSCH with 30% of maximum throughput</w:t>
      </w:r>
    </w:p>
    <w:p w14:paraId="36202CD0" w14:textId="468A57FD" w:rsidR="002B1143" w:rsidRPr="002B1143" w:rsidRDefault="002B1143" w:rsidP="002B1143">
      <w:pPr>
        <w:widowControl w:val="0"/>
      </w:pPr>
      <w:r>
        <w:t xml:space="preserve">Test case on full HARQ buffer utilization is an important test to ensure reliable communication with bad link quality UEs (cell-edge, blockage, </w:t>
      </w:r>
      <w:r w:rsidR="005534AE">
        <w:t>etc.</w:t>
      </w:r>
      <w:r>
        <w:t>.).</w:t>
      </w:r>
      <w:r w:rsidR="005534AE">
        <w:t xml:space="preserve"> Therefore, it is necessary to reuse same test cases from BS to IAB-DU nodes. </w:t>
      </w:r>
    </w:p>
    <w:p w14:paraId="03CC4022" w14:textId="0BFF3D99" w:rsidR="005534AE" w:rsidRPr="005534AE" w:rsidRDefault="005534AE" w:rsidP="005534AE">
      <w:pPr>
        <w:tabs>
          <w:tab w:val="left" w:pos="1276"/>
        </w:tabs>
        <w:ind w:left="1276" w:hanging="1276"/>
        <w:rPr>
          <w:b/>
        </w:rPr>
      </w:pPr>
      <w:r w:rsidRPr="005534AE">
        <w:rPr>
          <w:b/>
        </w:rPr>
        <w:t>Proposal #</w:t>
      </w:r>
      <w:r w:rsidR="00F65212">
        <w:rPr>
          <w:b/>
        </w:rPr>
        <w:t>5</w:t>
      </w:r>
      <w:r w:rsidRPr="005534AE">
        <w:rPr>
          <w:b/>
        </w:rPr>
        <w:t xml:space="preserve">: </w:t>
      </w:r>
      <w:r w:rsidRPr="005534AE">
        <w:rPr>
          <w:b/>
        </w:rPr>
        <w:tab/>
        <w:t xml:space="preserve">All existing requirements for PUSCH with 30% of maximum throughput should be re-used for IAB-DU. </w:t>
      </w:r>
    </w:p>
    <w:p w14:paraId="4C24C5B4" w14:textId="77777777" w:rsidR="001D364F" w:rsidRDefault="001D364F" w:rsidP="00EA4DE4">
      <w:pPr>
        <w:widowControl w:val="0"/>
        <w:rPr>
          <w:b/>
          <w:bCs/>
          <w:u w:val="single"/>
        </w:rPr>
      </w:pPr>
    </w:p>
    <w:p w14:paraId="7BBFBF8B" w14:textId="55D21654" w:rsidR="00BD3FEB" w:rsidRPr="00BD3FEB" w:rsidRDefault="00EA4DE4" w:rsidP="00BD3FEB">
      <w:pPr>
        <w:widowControl w:val="0"/>
        <w:rPr>
          <w:b/>
          <w:bCs/>
          <w:u w:val="single"/>
        </w:rPr>
      </w:pPr>
      <w:r>
        <w:rPr>
          <w:b/>
          <w:bCs/>
          <w:u w:val="single"/>
        </w:rPr>
        <w:t>Transform precoding</w:t>
      </w:r>
    </w:p>
    <w:p w14:paraId="37CCD084" w14:textId="78F88283" w:rsidR="00BD3FEB" w:rsidRPr="00BD3FEB" w:rsidRDefault="00BD3FEB" w:rsidP="00BD3FEB">
      <w:r>
        <w:t xml:space="preserve">UEs with limited power-budget can benefit from the lower PAPR of DFT-s-OFDM waveform. It brings potentially higher PA efficiency and allows to extend coverage by increasing UE Tx power. </w:t>
      </w:r>
      <w:r w:rsidR="0040628C">
        <w:t>In this case UL requirements for DFT-s-OFDM waveform are needed to guarantee that IAB-DU can serve all types of UE.</w:t>
      </w:r>
    </w:p>
    <w:p w14:paraId="0E51B0D8" w14:textId="1EFD5722" w:rsidR="005534AE" w:rsidRDefault="0040628C" w:rsidP="0040628C">
      <w:pPr>
        <w:tabs>
          <w:tab w:val="left" w:pos="1276"/>
        </w:tabs>
        <w:ind w:left="1276" w:hanging="1276"/>
        <w:rPr>
          <w:b/>
        </w:rPr>
      </w:pPr>
      <w:r w:rsidRPr="005534AE">
        <w:rPr>
          <w:b/>
        </w:rPr>
        <w:t>Proposal #</w:t>
      </w:r>
      <w:r w:rsidR="00F65212">
        <w:rPr>
          <w:b/>
        </w:rPr>
        <w:t>6</w:t>
      </w:r>
      <w:r w:rsidRPr="005534AE">
        <w:rPr>
          <w:b/>
        </w:rPr>
        <w:t xml:space="preserve">: </w:t>
      </w:r>
      <w:r w:rsidRPr="005534AE">
        <w:rPr>
          <w:b/>
        </w:rPr>
        <w:tab/>
      </w:r>
      <w:r w:rsidRPr="0040628C">
        <w:rPr>
          <w:b/>
        </w:rPr>
        <w:t>Include requirements for PUSCH with transform precoding enabled</w:t>
      </w:r>
      <w:r>
        <w:rPr>
          <w:b/>
        </w:rPr>
        <w:t xml:space="preserve"> for IAB-DU testing</w:t>
      </w:r>
      <w:r w:rsidRPr="005534AE">
        <w:rPr>
          <w:b/>
        </w:rPr>
        <w:t xml:space="preserve">. </w:t>
      </w:r>
    </w:p>
    <w:p w14:paraId="6AC892A5" w14:textId="77777777" w:rsidR="0040628C" w:rsidRPr="0040628C" w:rsidRDefault="0040628C" w:rsidP="0040628C">
      <w:pPr>
        <w:tabs>
          <w:tab w:val="left" w:pos="1276"/>
        </w:tabs>
        <w:ind w:left="1276" w:hanging="1276"/>
        <w:rPr>
          <w:b/>
        </w:rPr>
      </w:pPr>
    </w:p>
    <w:p w14:paraId="5C24D63F" w14:textId="785532FB" w:rsidR="008B5B28" w:rsidRDefault="002B1143" w:rsidP="00EA4DE4">
      <w:pPr>
        <w:rPr>
          <w:b/>
          <w:bCs/>
          <w:u w:val="single"/>
        </w:rPr>
      </w:pPr>
      <w:r w:rsidRPr="002B1143">
        <w:rPr>
          <w:b/>
          <w:bCs/>
          <w:u w:val="single"/>
        </w:rPr>
        <w:t xml:space="preserve">Test requirements for </w:t>
      </w:r>
      <w:r w:rsidR="008B5B28" w:rsidRPr="008B5B28">
        <w:rPr>
          <w:b/>
          <w:bCs/>
          <w:u w:val="single"/>
        </w:rPr>
        <w:t>UCI multiplexed on PUSCH</w:t>
      </w:r>
    </w:p>
    <w:p w14:paraId="7D7B12D4" w14:textId="3A5992C6" w:rsidR="008B5B28" w:rsidRPr="005534AE" w:rsidRDefault="005534AE" w:rsidP="00EA4DE4">
      <w:r w:rsidRPr="005534AE">
        <w:t>UCI can be transmitted either on PUCCH or on PUSCH. We have already agreed to reuse PUCCH test cases (at least some of them). In order to have sufficient test coverage we should also reuse test cases for multiplexed UCI on PUSCH.</w:t>
      </w:r>
    </w:p>
    <w:p w14:paraId="278F74B7" w14:textId="5DBE2F9B" w:rsidR="005534AE" w:rsidRPr="005534AE" w:rsidRDefault="005534AE" w:rsidP="005534AE">
      <w:pPr>
        <w:tabs>
          <w:tab w:val="left" w:pos="1276"/>
        </w:tabs>
        <w:ind w:left="1276" w:hanging="1276"/>
        <w:rPr>
          <w:b/>
        </w:rPr>
      </w:pPr>
      <w:r w:rsidRPr="005534AE">
        <w:rPr>
          <w:b/>
        </w:rPr>
        <w:t>Proposal #</w:t>
      </w:r>
      <w:r w:rsidR="00F65212">
        <w:rPr>
          <w:b/>
        </w:rPr>
        <w:t>7</w:t>
      </w:r>
      <w:r w:rsidRPr="005534AE">
        <w:rPr>
          <w:b/>
        </w:rPr>
        <w:t xml:space="preserve">: </w:t>
      </w:r>
      <w:r w:rsidRPr="005534AE">
        <w:rPr>
          <w:b/>
        </w:rPr>
        <w:tab/>
        <w:t xml:space="preserve">All existing requirements for UCI multiplexed on PUSCH should be re-used for IAB-DU. </w:t>
      </w:r>
    </w:p>
    <w:p w14:paraId="13FCABEE" w14:textId="5F5C78BD" w:rsidR="001331BE" w:rsidRDefault="001331BE" w:rsidP="00EA4DE4">
      <w:pPr>
        <w:rPr>
          <w:highlight w:val="yellow"/>
        </w:rPr>
      </w:pPr>
    </w:p>
    <w:p w14:paraId="4558AB6F" w14:textId="43FF78F5" w:rsidR="001331BE" w:rsidRDefault="001331BE" w:rsidP="001331BE">
      <w:pPr>
        <w:widowControl w:val="0"/>
        <w:rPr>
          <w:b/>
          <w:bCs/>
          <w:u w:val="single"/>
        </w:rPr>
      </w:pPr>
      <w:r>
        <w:rPr>
          <w:b/>
          <w:bCs/>
          <w:u w:val="single"/>
        </w:rPr>
        <w:t>Applicability rule</w:t>
      </w:r>
    </w:p>
    <w:p w14:paraId="09266735" w14:textId="18D95AB0" w:rsidR="005534AE" w:rsidRPr="005534AE" w:rsidRDefault="005534AE" w:rsidP="001331BE">
      <w:pPr>
        <w:widowControl w:val="0"/>
      </w:pPr>
      <w:r w:rsidRPr="005534AE">
        <w:t>There are several applicability rules were defined for BS:</w:t>
      </w:r>
    </w:p>
    <w:p w14:paraId="242FA901" w14:textId="77777777" w:rsidR="005534AE" w:rsidRPr="005534AE" w:rsidRDefault="005534AE" w:rsidP="005534AE">
      <w:pPr>
        <w:pStyle w:val="ListParagraph"/>
        <w:widowControl w:val="0"/>
        <w:numPr>
          <w:ilvl w:val="0"/>
          <w:numId w:val="20"/>
        </w:numPr>
        <w:rPr>
          <w:rFonts w:ascii="Times New Roman" w:hAnsi="Times New Roman"/>
          <w:i/>
          <w:iCs/>
          <w:sz w:val="20"/>
          <w:szCs w:val="20"/>
        </w:rPr>
      </w:pPr>
      <w:r w:rsidRPr="005534AE">
        <w:rPr>
          <w:rFonts w:ascii="Times New Roman" w:hAnsi="Times New Roman"/>
          <w:i/>
          <w:iCs/>
          <w:sz w:val="20"/>
          <w:szCs w:val="20"/>
        </w:rPr>
        <w:t>The tests shall apply for each supported subcarrier spacing</w:t>
      </w:r>
    </w:p>
    <w:p w14:paraId="53735DB5" w14:textId="77777777" w:rsidR="005534AE" w:rsidRPr="005534AE" w:rsidRDefault="005534AE" w:rsidP="005534AE">
      <w:pPr>
        <w:pStyle w:val="ListParagraph"/>
        <w:widowControl w:val="0"/>
        <w:numPr>
          <w:ilvl w:val="0"/>
          <w:numId w:val="20"/>
        </w:numPr>
        <w:rPr>
          <w:rFonts w:ascii="Times New Roman" w:hAnsi="Times New Roman"/>
          <w:i/>
          <w:iCs/>
          <w:sz w:val="20"/>
          <w:szCs w:val="20"/>
        </w:rPr>
      </w:pPr>
      <w:r w:rsidRPr="005534AE">
        <w:rPr>
          <w:rFonts w:ascii="Times New Roman" w:hAnsi="Times New Roman"/>
          <w:i/>
          <w:iCs/>
          <w:sz w:val="20"/>
          <w:szCs w:val="20"/>
        </w:rPr>
        <w:t>The tests shall be done only for the widest supported channel bandwidth for each SCS</w:t>
      </w:r>
    </w:p>
    <w:p w14:paraId="0BDEDA80" w14:textId="77777777" w:rsidR="005534AE" w:rsidRPr="005534AE" w:rsidRDefault="005534AE" w:rsidP="005534AE">
      <w:pPr>
        <w:pStyle w:val="ListParagraph"/>
        <w:widowControl w:val="0"/>
        <w:numPr>
          <w:ilvl w:val="0"/>
          <w:numId w:val="20"/>
        </w:numPr>
        <w:rPr>
          <w:rFonts w:ascii="Times New Roman" w:hAnsi="Times New Roman"/>
          <w:i/>
          <w:iCs/>
          <w:sz w:val="20"/>
          <w:szCs w:val="20"/>
        </w:rPr>
      </w:pPr>
      <w:r w:rsidRPr="005534AE">
        <w:rPr>
          <w:rFonts w:ascii="Times New Roman" w:hAnsi="Times New Roman"/>
          <w:i/>
          <w:iCs/>
          <w:sz w:val="20"/>
          <w:szCs w:val="20"/>
        </w:rPr>
        <w:t>The tests shall apply for anyone of supported PUSCH mapping types (A or B)</w:t>
      </w:r>
    </w:p>
    <w:p w14:paraId="6578C45D" w14:textId="3DCB8658" w:rsidR="005534AE" w:rsidRPr="0040628C" w:rsidRDefault="005534AE" w:rsidP="005534AE">
      <w:pPr>
        <w:pStyle w:val="ListParagraph"/>
        <w:widowControl w:val="0"/>
        <w:numPr>
          <w:ilvl w:val="0"/>
          <w:numId w:val="20"/>
        </w:numPr>
        <w:rPr>
          <w:rFonts w:ascii="Times New Roman" w:hAnsi="Times New Roman"/>
          <w:i/>
          <w:iCs/>
          <w:sz w:val="20"/>
          <w:szCs w:val="20"/>
        </w:rPr>
      </w:pPr>
      <w:r w:rsidRPr="0040628C">
        <w:rPr>
          <w:rFonts w:ascii="Times New Roman" w:hAnsi="Times New Roman"/>
          <w:i/>
          <w:iCs/>
          <w:sz w:val="20"/>
          <w:szCs w:val="20"/>
        </w:rPr>
        <w:t>One of the supported TDD UL-DL patterns shall be used for all tests</w:t>
      </w:r>
    </w:p>
    <w:p w14:paraId="75B5A101" w14:textId="3C2C4A39" w:rsidR="001331BE" w:rsidRPr="002A0A37" w:rsidRDefault="002A0A37" w:rsidP="001331BE">
      <w:pPr>
        <w:widowControl w:val="0"/>
      </w:pPr>
      <w:r w:rsidRPr="002A0A37">
        <w:t>Based on discussion on the previous meeting the following agreements were made:</w:t>
      </w:r>
    </w:p>
    <w:tbl>
      <w:tblPr>
        <w:tblStyle w:val="TableGrid"/>
        <w:tblW w:w="0" w:type="auto"/>
        <w:tblLook w:val="04A0" w:firstRow="1" w:lastRow="0" w:firstColumn="1" w:lastColumn="0" w:noHBand="0" w:noVBand="1"/>
      </w:tblPr>
      <w:tblGrid>
        <w:gridCol w:w="9629"/>
      </w:tblGrid>
      <w:tr w:rsidR="002A0A37" w14:paraId="41F11D67" w14:textId="77777777" w:rsidTr="002A0A37">
        <w:tc>
          <w:tcPr>
            <w:tcW w:w="9629" w:type="dxa"/>
          </w:tcPr>
          <w:p w14:paraId="4CE809C5" w14:textId="77777777" w:rsidR="002A0A37" w:rsidRDefault="002A0A37" w:rsidP="002A0A37">
            <w:pPr>
              <w:pStyle w:val="ListParagraph"/>
              <w:widowControl w:val="0"/>
              <w:numPr>
                <w:ilvl w:val="0"/>
                <w:numId w:val="21"/>
              </w:numPr>
              <w:rPr>
                <w:rFonts w:ascii="Times New Roman" w:hAnsi="Times New Roman"/>
                <w:i/>
                <w:iCs/>
                <w:sz w:val="20"/>
                <w:szCs w:val="20"/>
              </w:rPr>
            </w:pPr>
            <w:r w:rsidRPr="002A0A37">
              <w:rPr>
                <w:rFonts w:ascii="Times New Roman" w:hAnsi="Times New Roman"/>
                <w:i/>
                <w:iCs/>
                <w:sz w:val="20"/>
                <w:szCs w:val="20"/>
              </w:rPr>
              <w:t>Using existing applicable rules for CHBW, SCS and number of RX antenna configuration as starting point, further refinement not precluded.</w:t>
            </w:r>
          </w:p>
          <w:p w14:paraId="41ED26AA" w14:textId="7C93CB37" w:rsidR="002A0A37" w:rsidRPr="002A0A37" w:rsidRDefault="002A0A37" w:rsidP="002A0A37">
            <w:pPr>
              <w:pStyle w:val="ListParagraph"/>
              <w:widowControl w:val="0"/>
              <w:numPr>
                <w:ilvl w:val="0"/>
                <w:numId w:val="21"/>
              </w:numPr>
              <w:rPr>
                <w:rFonts w:ascii="Times New Roman" w:hAnsi="Times New Roman"/>
                <w:i/>
                <w:iCs/>
                <w:sz w:val="20"/>
                <w:szCs w:val="20"/>
              </w:rPr>
            </w:pPr>
            <w:r w:rsidRPr="002A0A37">
              <w:rPr>
                <w:rFonts w:ascii="Times New Roman" w:hAnsi="Times New Roman"/>
                <w:i/>
                <w:iCs/>
                <w:sz w:val="20"/>
                <w:szCs w:val="20"/>
              </w:rPr>
              <w:t>All existing antenna configurations shall be kept, when re-using BS demod requirements. An applicability rule shall be defined to test only maximum number of antennas declared to be supported by the manufacturer for the respective BS type, i.e., up to 8Rx in conducted/hybrid testing and up to 2Rx in OTA testing.</w:t>
            </w:r>
          </w:p>
        </w:tc>
      </w:tr>
    </w:tbl>
    <w:p w14:paraId="65479906" w14:textId="51924624" w:rsidR="00EA4DE4" w:rsidRDefault="002A0A37" w:rsidP="00EA4DE4">
      <w:pPr>
        <w:rPr>
          <w:lang w:eastAsia="ja-JP" w:bidi="hi-IN"/>
        </w:rPr>
      </w:pPr>
      <w:r w:rsidRPr="00F07E60">
        <w:rPr>
          <w:lang w:eastAsia="ja-JP" w:bidi="hi-IN"/>
        </w:rPr>
        <w:t>Current applicability framework looks very reasonable and stable hence we do not see room for further refinement.</w:t>
      </w:r>
    </w:p>
    <w:p w14:paraId="7399A14D" w14:textId="2C7B18D0" w:rsidR="0040628C" w:rsidRDefault="0040628C" w:rsidP="002C6CD4">
      <w:pPr>
        <w:tabs>
          <w:tab w:val="left" w:pos="1276"/>
        </w:tabs>
        <w:ind w:left="1276" w:hanging="1276"/>
        <w:rPr>
          <w:b/>
        </w:rPr>
      </w:pPr>
      <w:r w:rsidRPr="005534AE">
        <w:rPr>
          <w:b/>
        </w:rPr>
        <w:t>Proposal #</w:t>
      </w:r>
      <w:r w:rsidR="00F65212">
        <w:rPr>
          <w:b/>
        </w:rPr>
        <w:t>8</w:t>
      </w:r>
      <w:r w:rsidRPr="005534AE">
        <w:rPr>
          <w:b/>
        </w:rPr>
        <w:t xml:space="preserve">: </w:t>
      </w:r>
      <w:r w:rsidRPr="005534AE">
        <w:rPr>
          <w:b/>
        </w:rPr>
        <w:tab/>
      </w:r>
      <w:r>
        <w:rPr>
          <w:b/>
        </w:rPr>
        <w:t xml:space="preserve">For </w:t>
      </w:r>
      <w:r w:rsidRPr="005534AE">
        <w:rPr>
          <w:b/>
        </w:rPr>
        <w:t>IAB-DU</w:t>
      </w:r>
      <w:r>
        <w:rPr>
          <w:b/>
        </w:rPr>
        <w:t xml:space="preserve"> performance requirements use existing applicability rule for CBW, SCS and mapping type</w:t>
      </w:r>
      <w:r w:rsidRPr="005534AE">
        <w:rPr>
          <w:b/>
        </w:rPr>
        <w:t>.</w:t>
      </w:r>
      <w:r>
        <w:rPr>
          <w:b/>
        </w:rPr>
        <w:t xml:space="preserve"> Besides that, define applicability rule to </w:t>
      </w:r>
      <w:r w:rsidRPr="0040628C">
        <w:rPr>
          <w:b/>
        </w:rPr>
        <w:t>test only maximum number of antennas declared to be supported by the manufacturer for the respective BS type, i.e., up to 8Rx in conducted/hybrid testing and up to 2Rx in OTA testing</w:t>
      </w:r>
      <w:r>
        <w:rPr>
          <w:b/>
        </w:rPr>
        <w:t>.</w:t>
      </w:r>
    </w:p>
    <w:p w14:paraId="0973C13A" w14:textId="38C8837F" w:rsidR="00F65212" w:rsidRDefault="00F65212" w:rsidP="002C6CD4">
      <w:pPr>
        <w:tabs>
          <w:tab w:val="left" w:pos="1276"/>
        </w:tabs>
        <w:ind w:left="1276" w:hanging="1276"/>
        <w:rPr>
          <w:b/>
        </w:rPr>
      </w:pPr>
    </w:p>
    <w:p w14:paraId="7F69662A" w14:textId="098160F5" w:rsidR="00F65212" w:rsidRDefault="00F65212" w:rsidP="002C6CD4">
      <w:pPr>
        <w:tabs>
          <w:tab w:val="left" w:pos="1276"/>
        </w:tabs>
        <w:ind w:left="1276" w:hanging="1276"/>
        <w:rPr>
          <w:b/>
        </w:rPr>
      </w:pPr>
    </w:p>
    <w:p w14:paraId="0FEFE913" w14:textId="77777777" w:rsidR="00F65212" w:rsidRPr="002C6CD4" w:rsidRDefault="00F65212" w:rsidP="002C6CD4">
      <w:pPr>
        <w:tabs>
          <w:tab w:val="left" w:pos="1276"/>
        </w:tabs>
        <w:ind w:left="1276" w:hanging="1276"/>
        <w:rPr>
          <w:b/>
        </w:rPr>
      </w:pPr>
    </w:p>
    <w:p w14:paraId="161528B2" w14:textId="34AD4022" w:rsidR="00EA4DE4" w:rsidRDefault="00EA4DE4" w:rsidP="00EA4DE4">
      <w:pPr>
        <w:pStyle w:val="Heading2"/>
        <w:ind w:left="567"/>
      </w:pPr>
      <w:r>
        <w:lastRenderedPageBreak/>
        <w:t>PUCCH</w:t>
      </w:r>
    </w:p>
    <w:p w14:paraId="1DE93DB1" w14:textId="1A8B7B75" w:rsidR="00EA4DE4" w:rsidRDefault="00EA4DE4" w:rsidP="00EA4DE4">
      <w:pPr>
        <w:widowControl w:val="0"/>
        <w:rPr>
          <w:b/>
          <w:bCs/>
          <w:u w:val="single"/>
        </w:rPr>
      </w:pPr>
      <w:r>
        <w:rPr>
          <w:b/>
          <w:bCs/>
          <w:u w:val="single"/>
        </w:rPr>
        <w:t>Multi-slot</w:t>
      </w:r>
    </w:p>
    <w:p w14:paraId="740C0115" w14:textId="466C7654" w:rsidR="001845E1" w:rsidRDefault="002A0A37" w:rsidP="00EA4DE4">
      <w:pPr>
        <w:widowControl w:val="0"/>
      </w:pPr>
      <w:r>
        <w:t>Multi-slot PUSCH support is up to BS declaration (D.107). In this case there will be no additional test efforts</w:t>
      </w:r>
      <w:r w:rsidR="00D71439">
        <w:t xml:space="preserve"> </w:t>
      </w:r>
      <w:r>
        <w:t>if BS does not support it</w:t>
      </w:r>
      <w:r w:rsidR="00D71439">
        <w:t>. For IAB-DU there are no limitations on multi-slot PUCCH implementation. Therefore, we suggest reusing BS approach and reuse such requirements with up to IAB node declaration.</w:t>
      </w:r>
    </w:p>
    <w:p w14:paraId="468B8F83" w14:textId="3A984922" w:rsidR="00D71439" w:rsidRPr="005534AE" w:rsidRDefault="00D71439" w:rsidP="00D71439">
      <w:pPr>
        <w:tabs>
          <w:tab w:val="left" w:pos="1276"/>
        </w:tabs>
        <w:ind w:left="1276" w:hanging="1276"/>
        <w:rPr>
          <w:b/>
        </w:rPr>
      </w:pPr>
      <w:r w:rsidRPr="005534AE">
        <w:rPr>
          <w:b/>
        </w:rPr>
        <w:t>Proposal #</w:t>
      </w:r>
      <w:r w:rsidR="00F65212">
        <w:rPr>
          <w:b/>
        </w:rPr>
        <w:t>9</w:t>
      </w:r>
      <w:r w:rsidRPr="005534AE">
        <w:rPr>
          <w:b/>
        </w:rPr>
        <w:t xml:space="preserve">: </w:t>
      </w:r>
      <w:r w:rsidRPr="005534AE">
        <w:rPr>
          <w:b/>
        </w:rPr>
        <w:tab/>
        <w:t xml:space="preserve">All existing requirements for </w:t>
      </w:r>
      <w:r>
        <w:rPr>
          <w:b/>
        </w:rPr>
        <w:t>multi-slot PUSCH</w:t>
      </w:r>
      <w:r w:rsidRPr="005534AE">
        <w:rPr>
          <w:b/>
        </w:rPr>
        <w:t xml:space="preserve"> should be re-used for IAB-DU</w:t>
      </w:r>
      <w:r>
        <w:rPr>
          <w:b/>
        </w:rPr>
        <w:t xml:space="preserve"> and corresponding declaration on supporting of this feature should be defined.</w:t>
      </w:r>
    </w:p>
    <w:p w14:paraId="731931DA" w14:textId="77777777" w:rsidR="00D71439" w:rsidRPr="001845E1" w:rsidRDefault="00D71439" w:rsidP="00EA4DE4">
      <w:pPr>
        <w:widowControl w:val="0"/>
      </w:pPr>
    </w:p>
    <w:p w14:paraId="7BF2D0B6" w14:textId="73F2B9AB" w:rsidR="00EA4DE4" w:rsidRDefault="00D71439" w:rsidP="00EA4DE4">
      <w:pPr>
        <w:widowControl w:val="0"/>
        <w:rPr>
          <w:b/>
          <w:bCs/>
          <w:u w:val="single"/>
        </w:rPr>
      </w:pPr>
      <w:r>
        <w:rPr>
          <w:b/>
          <w:bCs/>
          <w:u w:val="single"/>
        </w:rPr>
        <w:t>Number of test cases and a</w:t>
      </w:r>
      <w:r w:rsidR="00EA4DE4">
        <w:rPr>
          <w:b/>
          <w:bCs/>
          <w:u w:val="single"/>
        </w:rPr>
        <w:t>pplicability rule</w:t>
      </w:r>
    </w:p>
    <w:p w14:paraId="535447A8" w14:textId="1C43115C" w:rsidR="008D6AA5" w:rsidRPr="00701C21" w:rsidRDefault="008D6AA5" w:rsidP="001845E1">
      <w:pPr>
        <w:widowControl w:val="0"/>
      </w:pPr>
      <w:r w:rsidRPr="00701C21">
        <w:t>The following agreement was made regarding PUCCH test cases reusing:</w:t>
      </w:r>
    </w:p>
    <w:tbl>
      <w:tblPr>
        <w:tblStyle w:val="TableGrid"/>
        <w:tblW w:w="0" w:type="auto"/>
        <w:tblLook w:val="04A0" w:firstRow="1" w:lastRow="0" w:firstColumn="1" w:lastColumn="0" w:noHBand="0" w:noVBand="1"/>
      </w:tblPr>
      <w:tblGrid>
        <w:gridCol w:w="9629"/>
      </w:tblGrid>
      <w:tr w:rsidR="008D6AA5" w14:paraId="1F0C0BE9" w14:textId="77777777" w:rsidTr="00147776">
        <w:tc>
          <w:tcPr>
            <w:tcW w:w="9629" w:type="dxa"/>
          </w:tcPr>
          <w:p w14:paraId="7B96A20F" w14:textId="1E0F9DB6" w:rsidR="008D6AA5" w:rsidRPr="00DE2BA4" w:rsidRDefault="008D6AA5" w:rsidP="00147776">
            <w:pPr>
              <w:widowControl w:val="0"/>
              <w:rPr>
                <w:i/>
                <w:iCs/>
              </w:rPr>
            </w:pPr>
            <w:r>
              <w:rPr>
                <w:i/>
                <w:iCs/>
              </w:rPr>
              <w:t>PUCCH number of test cases:</w:t>
            </w:r>
          </w:p>
          <w:p w14:paraId="4DB4757D" w14:textId="6BCACE20" w:rsidR="008D6AA5" w:rsidRPr="008D6AA5" w:rsidRDefault="008D6AA5" w:rsidP="008D6AA5">
            <w:pPr>
              <w:pStyle w:val="ListParagraph"/>
              <w:widowControl w:val="0"/>
              <w:numPr>
                <w:ilvl w:val="0"/>
                <w:numId w:val="19"/>
              </w:numPr>
              <w:rPr>
                <w:rFonts w:ascii="Times New Roman" w:hAnsi="Times New Roman"/>
                <w:i/>
                <w:iCs/>
                <w:sz w:val="20"/>
                <w:szCs w:val="20"/>
              </w:rPr>
            </w:pPr>
            <w:r w:rsidRPr="008D6AA5">
              <w:rPr>
                <w:rFonts w:ascii="Times New Roman" w:hAnsi="Times New Roman"/>
                <w:i/>
                <w:iCs/>
                <w:sz w:val="20"/>
                <w:szCs w:val="20"/>
              </w:rPr>
              <w:t>Keep all the PUCCH requirements and related test applicability rule, if BS declares to support more than one PUCCH formats, limit the number of tests chosen by the manufacturer using applicability rule. FFS: Exact limiting of tests</w:t>
            </w:r>
          </w:p>
        </w:tc>
      </w:tr>
    </w:tbl>
    <w:p w14:paraId="4C2631FC" w14:textId="37C7CC71" w:rsidR="001D364F" w:rsidRPr="0040628C" w:rsidRDefault="0040628C" w:rsidP="008D6AA5">
      <w:pPr>
        <w:widowControl w:val="0"/>
      </w:pPr>
      <w:r w:rsidRPr="0040628C">
        <w:t>From receive processing perspective PUCCH format 0 is different from other formats since no DMRS is present in PUCCH format 0, unlike other PUCCH formats.</w:t>
      </w:r>
      <w:r>
        <w:t xml:space="preserve"> In this case </w:t>
      </w:r>
      <w:r w:rsidR="00F07E60">
        <w:t>if we want to limit the test efforts to only two PUCCH formats we suggest mandatory testing of PUCCH format 0 if IAB-DU declares to support more than 2 PUCCH formats</w:t>
      </w:r>
      <w:r w:rsidR="00F42655">
        <w:t xml:space="preserve"> where one of them is PUCCH forma</w:t>
      </w:r>
      <w:r w:rsidR="00B9560C">
        <w:t>t</w:t>
      </w:r>
      <w:r w:rsidR="00F42655">
        <w:t xml:space="preserve"> 0</w:t>
      </w:r>
      <w:r w:rsidR="00F07E60">
        <w:t xml:space="preserve">. </w:t>
      </w:r>
    </w:p>
    <w:p w14:paraId="04E8A694" w14:textId="49525815" w:rsidR="00F07E60" w:rsidRDefault="00F07E60" w:rsidP="00F07E60">
      <w:pPr>
        <w:tabs>
          <w:tab w:val="left" w:pos="1276"/>
        </w:tabs>
        <w:ind w:left="1276" w:hanging="1276"/>
        <w:rPr>
          <w:b/>
        </w:rPr>
      </w:pPr>
      <w:r w:rsidRPr="005534AE">
        <w:rPr>
          <w:b/>
        </w:rPr>
        <w:t>Proposal #</w:t>
      </w:r>
      <w:r w:rsidR="00F65212">
        <w:rPr>
          <w:b/>
        </w:rPr>
        <w:t>10</w:t>
      </w:r>
      <w:r w:rsidRPr="005534AE">
        <w:rPr>
          <w:b/>
        </w:rPr>
        <w:t xml:space="preserve">: </w:t>
      </w:r>
      <w:r w:rsidRPr="005534AE">
        <w:rPr>
          <w:b/>
        </w:rPr>
        <w:tab/>
      </w:r>
      <w:r w:rsidRPr="00F07E60">
        <w:rPr>
          <w:b/>
        </w:rPr>
        <w:t>Keep all the PUCCH requirements and define the following applicability rule</w:t>
      </w:r>
      <w:r>
        <w:rPr>
          <w:b/>
        </w:rPr>
        <w:t>:</w:t>
      </w:r>
    </w:p>
    <w:p w14:paraId="5F38EDE5" w14:textId="5FB92CB1" w:rsidR="00F07E60" w:rsidRPr="00F07E60" w:rsidRDefault="00F07E60" w:rsidP="00F07E60">
      <w:pPr>
        <w:tabs>
          <w:tab w:val="left" w:pos="1560"/>
        </w:tabs>
        <w:ind w:left="1843" w:hanging="283"/>
        <w:rPr>
          <w:b/>
        </w:rPr>
      </w:pPr>
      <w:r w:rsidRPr="00F07E60">
        <w:rPr>
          <w:b/>
        </w:rPr>
        <w:t>•</w:t>
      </w:r>
      <w:r w:rsidRPr="00F07E60">
        <w:rPr>
          <w:b/>
        </w:rPr>
        <w:tab/>
        <w:t xml:space="preserve">If </w:t>
      </w:r>
      <w:r>
        <w:rPr>
          <w:b/>
        </w:rPr>
        <w:t>IAB-DU</w:t>
      </w:r>
      <w:r w:rsidRPr="00F07E60">
        <w:rPr>
          <w:b/>
        </w:rPr>
        <w:t xml:space="preserve"> declares to support more than </w:t>
      </w:r>
      <w:r>
        <w:rPr>
          <w:b/>
        </w:rPr>
        <w:t>two</w:t>
      </w:r>
      <w:r w:rsidRPr="00F07E60">
        <w:rPr>
          <w:b/>
        </w:rPr>
        <w:t xml:space="preserve"> PUCCH formats </w:t>
      </w:r>
      <w:r w:rsidR="0094720D">
        <w:rPr>
          <w:b/>
        </w:rPr>
        <w:t>and</w:t>
      </w:r>
      <w:r w:rsidR="0094720D" w:rsidRPr="00F07E60">
        <w:rPr>
          <w:b/>
        </w:rPr>
        <w:t xml:space="preserve"> </w:t>
      </w:r>
      <w:r w:rsidRPr="00F07E60">
        <w:rPr>
          <w:b/>
        </w:rPr>
        <w:t>format 0</w:t>
      </w:r>
      <w:r w:rsidR="0094720D">
        <w:rPr>
          <w:b/>
        </w:rPr>
        <w:t xml:space="preserve"> is supported</w:t>
      </w:r>
      <w:r w:rsidRPr="00F07E60">
        <w:rPr>
          <w:b/>
        </w:rPr>
        <w:t xml:space="preserve">, </w:t>
      </w:r>
      <w:r w:rsidR="003D6686">
        <w:rPr>
          <w:b/>
        </w:rPr>
        <w:t xml:space="preserve">then </w:t>
      </w:r>
      <w:r w:rsidRPr="00F07E60">
        <w:rPr>
          <w:b/>
        </w:rPr>
        <w:t>limit the number of tests to format 0 and any other case chosen by the manufactur</w:t>
      </w:r>
      <w:r>
        <w:rPr>
          <w:b/>
        </w:rPr>
        <w:t>er</w:t>
      </w:r>
      <w:r w:rsidRPr="00F07E60">
        <w:rPr>
          <w:b/>
        </w:rPr>
        <w:t xml:space="preserve">. </w:t>
      </w:r>
    </w:p>
    <w:p w14:paraId="5126B8E8" w14:textId="0EC98267" w:rsidR="00F07E60" w:rsidRDefault="00F07E60" w:rsidP="00F07E60">
      <w:pPr>
        <w:tabs>
          <w:tab w:val="left" w:pos="1560"/>
        </w:tabs>
        <w:ind w:left="1843" w:hanging="283"/>
        <w:rPr>
          <w:b/>
        </w:rPr>
      </w:pPr>
      <w:r w:rsidRPr="00F07E60">
        <w:rPr>
          <w:b/>
        </w:rPr>
        <w:t>•</w:t>
      </w:r>
      <w:r w:rsidRPr="00F07E60">
        <w:rPr>
          <w:b/>
        </w:rPr>
        <w:tab/>
        <w:t xml:space="preserve">If </w:t>
      </w:r>
      <w:r>
        <w:rPr>
          <w:b/>
        </w:rPr>
        <w:t>IAB-DU</w:t>
      </w:r>
      <w:r w:rsidRPr="00F07E60">
        <w:rPr>
          <w:b/>
        </w:rPr>
        <w:t xml:space="preserve"> declares to support more than </w:t>
      </w:r>
      <w:r>
        <w:rPr>
          <w:b/>
        </w:rPr>
        <w:t>two</w:t>
      </w:r>
      <w:r w:rsidRPr="00F07E60">
        <w:rPr>
          <w:b/>
        </w:rPr>
        <w:t xml:space="preserve"> PUCCH formats </w:t>
      </w:r>
      <w:r w:rsidR="003D6686">
        <w:rPr>
          <w:b/>
        </w:rPr>
        <w:t xml:space="preserve">and </w:t>
      </w:r>
      <w:r w:rsidRPr="00F07E60">
        <w:rPr>
          <w:b/>
        </w:rPr>
        <w:t xml:space="preserve">format 0 is not </w:t>
      </w:r>
      <w:r w:rsidR="003D6686">
        <w:rPr>
          <w:b/>
        </w:rPr>
        <w:t>supported</w:t>
      </w:r>
      <w:r w:rsidRPr="00F07E60">
        <w:rPr>
          <w:b/>
        </w:rPr>
        <w:t xml:space="preserve">, </w:t>
      </w:r>
      <w:r w:rsidR="003D6686">
        <w:rPr>
          <w:b/>
        </w:rPr>
        <w:t xml:space="preserve">then </w:t>
      </w:r>
      <w:r w:rsidRPr="00F07E60">
        <w:rPr>
          <w:b/>
        </w:rPr>
        <w:t>limit the number of tests to any two cases chosen by the manufacturer</w:t>
      </w:r>
      <w:r>
        <w:rPr>
          <w:b/>
        </w:rPr>
        <w:t>.</w:t>
      </w:r>
    </w:p>
    <w:p w14:paraId="4AE68A94" w14:textId="0107333F" w:rsidR="00F07E60" w:rsidRPr="00F07E60" w:rsidRDefault="00F07E60" w:rsidP="00F07E60">
      <w:pPr>
        <w:tabs>
          <w:tab w:val="left" w:pos="1560"/>
        </w:tabs>
        <w:ind w:left="1843" w:hanging="283"/>
        <w:rPr>
          <w:b/>
        </w:rPr>
      </w:pPr>
      <w:r w:rsidRPr="00F07E60">
        <w:rPr>
          <w:b/>
        </w:rPr>
        <w:t>•</w:t>
      </w:r>
      <w:r w:rsidRPr="00F07E60">
        <w:rPr>
          <w:b/>
        </w:rPr>
        <w:tab/>
      </w:r>
      <w:r>
        <w:rPr>
          <w:b/>
        </w:rPr>
        <w:t>In any other cases apply requirements for declared PUCCH formats.</w:t>
      </w:r>
    </w:p>
    <w:p w14:paraId="3334FE9D" w14:textId="6ED74D1D" w:rsidR="00EA4DE4" w:rsidRDefault="00EA4DE4" w:rsidP="00EA4DE4">
      <w:pPr>
        <w:pStyle w:val="Heading2"/>
        <w:ind w:left="567"/>
      </w:pPr>
      <w:r>
        <w:t>PRACH</w:t>
      </w:r>
    </w:p>
    <w:p w14:paraId="534D0732" w14:textId="2B69A25A" w:rsidR="00EA4DE4" w:rsidRDefault="00EA4DE4" w:rsidP="00EA4DE4">
      <w:pPr>
        <w:widowControl w:val="0"/>
        <w:rPr>
          <w:b/>
          <w:bCs/>
          <w:u w:val="single"/>
        </w:rPr>
      </w:pPr>
      <w:r>
        <w:rPr>
          <w:b/>
          <w:bCs/>
          <w:u w:val="single"/>
        </w:rPr>
        <w:t>Formats</w:t>
      </w:r>
      <w:r w:rsidR="00701C21">
        <w:rPr>
          <w:b/>
          <w:bCs/>
          <w:u w:val="single"/>
        </w:rPr>
        <w:t xml:space="preserve"> and applicability rule</w:t>
      </w:r>
    </w:p>
    <w:p w14:paraId="770D983F" w14:textId="0BCC3ED0" w:rsidR="00701C21" w:rsidRDefault="00701C21" w:rsidP="00701C21">
      <w:pPr>
        <w:widowControl w:val="0"/>
      </w:pPr>
      <w:r w:rsidRPr="00701C21">
        <w:t xml:space="preserve">The following agreement was made regarding </w:t>
      </w:r>
      <w:r w:rsidR="00F42655">
        <w:t>PRACH</w:t>
      </w:r>
      <w:r w:rsidRPr="00701C21">
        <w:t xml:space="preserve"> test cases reusing:</w:t>
      </w:r>
    </w:p>
    <w:tbl>
      <w:tblPr>
        <w:tblStyle w:val="TableGrid"/>
        <w:tblW w:w="0" w:type="auto"/>
        <w:tblLook w:val="04A0" w:firstRow="1" w:lastRow="0" w:firstColumn="1" w:lastColumn="0" w:noHBand="0" w:noVBand="1"/>
      </w:tblPr>
      <w:tblGrid>
        <w:gridCol w:w="9629"/>
      </w:tblGrid>
      <w:tr w:rsidR="00701C21" w14:paraId="06D36CC0" w14:textId="77777777" w:rsidTr="00147776">
        <w:tc>
          <w:tcPr>
            <w:tcW w:w="9629" w:type="dxa"/>
          </w:tcPr>
          <w:p w14:paraId="601BB373" w14:textId="43777820" w:rsidR="00701C21" w:rsidRPr="00701C21" w:rsidRDefault="00701C21" w:rsidP="00701C21">
            <w:pPr>
              <w:widowControl w:val="0"/>
              <w:rPr>
                <w:i/>
                <w:iCs/>
              </w:rPr>
            </w:pPr>
            <w:r>
              <w:rPr>
                <w:i/>
                <w:iCs/>
              </w:rPr>
              <w:t>PRACH formats:</w:t>
            </w:r>
          </w:p>
          <w:p w14:paraId="5FA9E325" w14:textId="5C5FBE7D" w:rsidR="00701C21" w:rsidRPr="00701C21" w:rsidRDefault="00701C21" w:rsidP="00701C21">
            <w:pPr>
              <w:pStyle w:val="ListParagraph"/>
              <w:widowControl w:val="0"/>
              <w:numPr>
                <w:ilvl w:val="0"/>
                <w:numId w:val="19"/>
              </w:numPr>
              <w:rPr>
                <w:rFonts w:ascii="Times New Roman" w:hAnsi="Times New Roman"/>
                <w:i/>
                <w:iCs/>
                <w:sz w:val="20"/>
                <w:szCs w:val="20"/>
              </w:rPr>
            </w:pPr>
            <w:r w:rsidRPr="00701C21">
              <w:rPr>
                <w:rFonts w:ascii="Times New Roman" w:hAnsi="Times New Roman"/>
                <w:i/>
                <w:iCs/>
                <w:sz w:val="20"/>
                <w:szCs w:val="20"/>
              </w:rPr>
              <w:t>Option 1: Only keep format 0 with 1.25kHz SCS and C2 with 30kHz and 120kHz SCS for PRACH performance requirements</w:t>
            </w:r>
          </w:p>
          <w:p w14:paraId="137BF310" w14:textId="77777777" w:rsidR="00701C21" w:rsidRPr="00701C21" w:rsidRDefault="00701C21" w:rsidP="00701C21">
            <w:pPr>
              <w:pStyle w:val="ListParagraph"/>
              <w:widowControl w:val="0"/>
              <w:numPr>
                <w:ilvl w:val="0"/>
                <w:numId w:val="19"/>
              </w:numPr>
              <w:rPr>
                <w:rFonts w:ascii="Times New Roman" w:hAnsi="Times New Roman"/>
                <w:i/>
                <w:iCs/>
                <w:sz w:val="20"/>
                <w:szCs w:val="20"/>
              </w:rPr>
            </w:pPr>
            <w:r w:rsidRPr="00701C21">
              <w:rPr>
                <w:rFonts w:ascii="Times New Roman" w:hAnsi="Times New Roman"/>
                <w:i/>
                <w:iCs/>
                <w:sz w:val="20"/>
                <w:szCs w:val="20"/>
              </w:rPr>
              <w:t>Option 2: Keep all PRACH formats and discuss applicability rule.</w:t>
            </w:r>
          </w:p>
          <w:p w14:paraId="15286084" w14:textId="77777777" w:rsidR="00701C21" w:rsidRPr="00701C21" w:rsidRDefault="00701C21" w:rsidP="00701C21">
            <w:pPr>
              <w:pStyle w:val="ListParagraph"/>
              <w:widowControl w:val="0"/>
              <w:numPr>
                <w:ilvl w:val="0"/>
                <w:numId w:val="19"/>
              </w:numPr>
              <w:rPr>
                <w:rFonts w:ascii="Times New Roman" w:hAnsi="Times New Roman"/>
                <w:i/>
                <w:iCs/>
                <w:sz w:val="20"/>
                <w:szCs w:val="20"/>
              </w:rPr>
            </w:pPr>
            <w:r w:rsidRPr="00701C21">
              <w:rPr>
                <w:rFonts w:ascii="Times New Roman" w:hAnsi="Times New Roman"/>
                <w:i/>
                <w:iCs/>
                <w:sz w:val="20"/>
                <w:szCs w:val="20"/>
              </w:rPr>
              <w:t>Option 3: Only copy-paste TDLC300-100/TDLA30-300 cases (currently TDLC300-100/TDLA30-300 and AWGN) for FR1 and FR2 respectively.</w:t>
            </w:r>
          </w:p>
          <w:p w14:paraId="04F6B03B" w14:textId="490B682B" w:rsidR="00701C21" w:rsidRPr="008D6AA5" w:rsidRDefault="00701C21" w:rsidP="00701C21">
            <w:pPr>
              <w:pStyle w:val="ListParagraph"/>
              <w:widowControl w:val="0"/>
              <w:numPr>
                <w:ilvl w:val="1"/>
                <w:numId w:val="19"/>
              </w:numPr>
              <w:rPr>
                <w:rFonts w:ascii="Times New Roman" w:hAnsi="Times New Roman"/>
                <w:i/>
                <w:iCs/>
                <w:sz w:val="20"/>
                <w:szCs w:val="20"/>
              </w:rPr>
            </w:pPr>
            <w:r w:rsidRPr="00701C21">
              <w:rPr>
                <w:rFonts w:ascii="Times New Roman" w:eastAsia="SimSun" w:hAnsi="Times New Roman"/>
                <w:i/>
                <w:iCs/>
                <w:sz w:val="20"/>
                <w:szCs w:val="20"/>
                <w:lang w:val="en-GB"/>
              </w:rPr>
              <w:t>For BS declares to support more than one PRACH formats, limit the number of tests to any two cases chosen by the manufacturer using applicability rule.</w:t>
            </w:r>
          </w:p>
        </w:tc>
      </w:tr>
    </w:tbl>
    <w:p w14:paraId="6273CD61" w14:textId="77777777" w:rsidR="00F42655" w:rsidRDefault="00701C21" w:rsidP="00EA4DE4">
      <w:r>
        <w:t xml:space="preserve">According to Declaration </w:t>
      </w:r>
      <w:r w:rsidR="00F42655">
        <w:t>D</w:t>
      </w:r>
      <w:r>
        <w:t xml:space="preserve">103 supported PRACH format and SCS is up to </w:t>
      </w:r>
      <w:r w:rsidRPr="00701C21">
        <w:t>BS manufacturer's declaration</w:t>
      </w:r>
      <w:r>
        <w:t xml:space="preserve">. Different PRACH formats were defined to optimize performance in different deployment scenarios (small cell, large cell, coverage enhancements, high UE mobility, etc.) Deployment of IAB nodes is also possible in different scenarios </w:t>
      </w:r>
      <w:r w:rsidR="00157ED8">
        <w:t xml:space="preserve">and there are no restrictions in terms of supported PRACH format for IAB-DU. In this case we suggest reusing all test cases to have ability to test all PRACH formats. Same time </w:t>
      </w:r>
      <w:r w:rsidR="00F42655">
        <w:t>i</w:t>
      </w:r>
      <w:r w:rsidR="00157ED8">
        <w:t xml:space="preserve">t is reasonable to limit the number of requirements in case IAB node supports more than one PRACH format – for example allow to pass requirements only for two formats. </w:t>
      </w:r>
    </w:p>
    <w:p w14:paraId="7B8C6008" w14:textId="6EF9064E" w:rsidR="00EA4DE4" w:rsidRDefault="00157ED8" w:rsidP="00EA4DE4">
      <w:pPr>
        <w:rPr>
          <w:lang w:val="en-US"/>
        </w:rPr>
      </w:pPr>
      <w:r>
        <w:t xml:space="preserve">In general, PRACH formats are divided into two groups: for long sequence and for short sequence. If IAB node supports formats from different groups, it is beneficial to </w:t>
      </w:r>
      <w:r>
        <w:rPr>
          <w:lang w:val="en-US"/>
        </w:rPr>
        <w:t xml:space="preserve">test formats from each of them. In this case we suggest the following applicability rule: </w:t>
      </w:r>
      <w:r w:rsidRPr="00157ED8">
        <w:rPr>
          <w:lang w:val="en-US"/>
        </w:rPr>
        <w:t xml:space="preserve">For </w:t>
      </w:r>
      <w:r>
        <w:rPr>
          <w:lang w:val="en-US"/>
        </w:rPr>
        <w:t>IAB-DU</w:t>
      </w:r>
      <w:r w:rsidRPr="00157ED8">
        <w:rPr>
          <w:lang w:val="en-US"/>
        </w:rPr>
        <w:t xml:space="preserve"> declares to support more than one PRACH formats, limit the number of tests to any two </w:t>
      </w:r>
      <w:r w:rsidRPr="00157ED8">
        <w:rPr>
          <w:lang w:val="en-US"/>
        </w:rPr>
        <w:lastRenderedPageBreak/>
        <w:t>cases chosen by the manufacturer</w:t>
      </w:r>
      <w:r>
        <w:rPr>
          <w:lang w:val="en-US"/>
        </w:rPr>
        <w:t xml:space="preserve">. If IAB-DU declares to support more than one PRACH formats where formats for both long and short PRACH sequences </w:t>
      </w:r>
      <w:r w:rsidR="00B802F3">
        <w:rPr>
          <w:lang w:val="en-US"/>
        </w:rPr>
        <w:t xml:space="preserve">are presented, require to </w:t>
      </w:r>
      <w:r w:rsidR="00F07E60">
        <w:rPr>
          <w:lang w:val="en-US"/>
        </w:rPr>
        <w:t>choose</w:t>
      </w:r>
      <w:r w:rsidR="00B802F3">
        <w:rPr>
          <w:lang w:val="en-US"/>
        </w:rPr>
        <w:t xml:space="preserve"> formats with different sequences. </w:t>
      </w:r>
    </w:p>
    <w:p w14:paraId="5BE699D3" w14:textId="5478C77D" w:rsidR="00A1475C" w:rsidRPr="00B802F3" w:rsidRDefault="00B802F3" w:rsidP="00B802F3">
      <w:pPr>
        <w:tabs>
          <w:tab w:val="left" w:pos="1276"/>
        </w:tabs>
        <w:ind w:left="1276" w:hanging="1276"/>
        <w:rPr>
          <w:b/>
        </w:rPr>
      </w:pPr>
      <w:r w:rsidRPr="005534AE">
        <w:rPr>
          <w:b/>
        </w:rPr>
        <w:t>Proposal #</w:t>
      </w:r>
      <w:r w:rsidR="00F07E60">
        <w:rPr>
          <w:b/>
        </w:rPr>
        <w:t>1</w:t>
      </w:r>
      <w:r w:rsidR="00F65212">
        <w:rPr>
          <w:b/>
        </w:rPr>
        <w:t>1</w:t>
      </w:r>
      <w:r w:rsidRPr="005534AE">
        <w:rPr>
          <w:b/>
        </w:rPr>
        <w:t xml:space="preserve">: </w:t>
      </w:r>
      <w:r w:rsidRPr="005534AE">
        <w:rPr>
          <w:b/>
        </w:rPr>
        <w:tab/>
        <w:t xml:space="preserve">All existing requirements </w:t>
      </w:r>
      <w:r>
        <w:rPr>
          <w:b/>
        </w:rPr>
        <w:t xml:space="preserve">and applicability rules </w:t>
      </w:r>
      <w:r w:rsidRPr="005534AE">
        <w:rPr>
          <w:b/>
        </w:rPr>
        <w:t xml:space="preserve">for </w:t>
      </w:r>
      <w:r>
        <w:rPr>
          <w:b/>
        </w:rPr>
        <w:t>PRACH</w:t>
      </w:r>
      <w:r w:rsidRPr="005534AE">
        <w:rPr>
          <w:b/>
        </w:rPr>
        <w:t xml:space="preserve"> should be re-used for IAB-DU</w:t>
      </w:r>
      <w:r>
        <w:rPr>
          <w:b/>
        </w:rPr>
        <w:t xml:space="preserve"> and corresponding declaration on supporting of this feature should be defined. The following new one applicability rule should be added: “</w:t>
      </w:r>
      <w:r w:rsidRPr="00B802F3">
        <w:rPr>
          <w:b/>
        </w:rPr>
        <w:t>For IAB-DU declares to support more than one PRACH formats, limit the number of tests to any two cases chosen by the manufacturer. If IAB-DU declares to support more than one PRACH formats where formats for both long and short PRACH sequences are presented, require to cho</w:t>
      </w:r>
      <w:r w:rsidR="00C05F76">
        <w:rPr>
          <w:b/>
        </w:rPr>
        <w:t>o</w:t>
      </w:r>
      <w:r w:rsidRPr="00B802F3">
        <w:rPr>
          <w:b/>
        </w:rPr>
        <w:t>se formats with different sequences.</w:t>
      </w:r>
      <w:r>
        <w:rPr>
          <w:b/>
        </w:rPr>
        <w:t>”</w:t>
      </w:r>
    </w:p>
    <w:p w14:paraId="7D45A7C8" w14:textId="77777777" w:rsidR="000D4B18" w:rsidRPr="00146B4F" w:rsidRDefault="000D4B18" w:rsidP="00422531">
      <w:pPr>
        <w:pStyle w:val="Heading1"/>
      </w:pPr>
      <w:r w:rsidRPr="00146B4F">
        <w:t>Conclusion</w:t>
      </w:r>
    </w:p>
    <w:p w14:paraId="7442AFB2" w14:textId="7B743321" w:rsidR="00131E05" w:rsidRPr="002C6CD4" w:rsidRDefault="00DC2D0E" w:rsidP="007C0360">
      <w:pPr>
        <w:tabs>
          <w:tab w:val="left" w:pos="709"/>
        </w:tabs>
        <w:spacing w:before="60" w:after="60"/>
      </w:pPr>
      <w:r w:rsidRPr="002C6CD4">
        <w:t xml:space="preserve">In this </w:t>
      </w:r>
      <w:r w:rsidR="00F42C0A" w:rsidRPr="002C6CD4">
        <w:t>contribution</w:t>
      </w:r>
      <w:r w:rsidRPr="002C6CD4">
        <w:t xml:space="preserve"> </w:t>
      </w:r>
      <w:r w:rsidR="00F42C0A" w:rsidRPr="002C6CD4">
        <w:t>we prov</w:t>
      </w:r>
      <w:r w:rsidR="005A0FAA" w:rsidRPr="002C6CD4">
        <w:t>ide</w:t>
      </w:r>
      <w:r w:rsidR="00F42C0A" w:rsidRPr="002C6CD4">
        <w:t xml:space="preserve"> our view</w:t>
      </w:r>
      <w:r w:rsidR="00BE109D" w:rsidRPr="002C6CD4">
        <w:t>s</w:t>
      </w:r>
      <w:r w:rsidR="00F42C0A" w:rsidRPr="002C6CD4">
        <w:t xml:space="preserve"> </w:t>
      </w:r>
      <w:r w:rsidR="005A0FAA" w:rsidRPr="002C6CD4">
        <w:t xml:space="preserve">on </w:t>
      </w:r>
      <w:r w:rsidR="00B802F3" w:rsidRPr="002C6CD4">
        <w:t>IAB-DU performance requirements</w:t>
      </w:r>
      <w:r w:rsidR="005A0FAA" w:rsidRPr="002C6CD4">
        <w:t>. In summary, we make the following proposals:</w:t>
      </w:r>
    </w:p>
    <w:p w14:paraId="1E66B22A" w14:textId="4147C08A" w:rsidR="00F65212" w:rsidRPr="00F65212" w:rsidRDefault="00F65212" w:rsidP="00F65212">
      <w:pPr>
        <w:pStyle w:val="Proposal1"/>
      </w:pPr>
      <w:r w:rsidRPr="001F63CF">
        <w:t>Proposal #</w:t>
      </w:r>
      <w:r>
        <w:t>1</w:t>
      </w:r>
      <w:r w:rsidRPr="001F63CF">
        <w:t xml:space="preserve">: </w:t>
      </w:r>
      <w:r w:rsidRPr="001F63CF">
        <w:tab/>
      </w:r>
      <w:r>
        <w:t xml:space="preserve">For IAB-DU 16QAM 2T2R radiated test cases reuse Rel-16 gNB performance requirements. </w:t>
      </w:r>
    </w:p>
    <w:p w14:paraId="33DA61D0" w14:textId="677D8FC9" w:rsidR="00F07E60" w:rsidRDefault="00F07E60" w:rsidP="00F07E60">
      <w:pPr>
        <w:tabs>
          <w:tab w:val="left" w:pos="1276"/>
        </w:tabs>
        <w:ind w:left="1276" w:hanging="1276"/>
        <w:rPr>
          <w:b/>
        </w:rPr>
      </w:pPr>
      <w:r w:rsidRPr="00F07E60">
        <w:rPr>
          <w:b/>
        </w:rPr>
        <w:t>Proposal #</w:t>
      </w:r>
      <w:r w:rsidR="00F65212">
        <w:rPr>
          <w:b/>
        </w:rPr>
        <w:t>2</w:t>
      </w:r>
      <w:r w:rsidRPr="00F07E60">
        <w:rPr>
          <w:b/>
        </w:rPr>
        <w:t xml:space="preserve">: </w:t>
      </w:r>
      <w:r w:rsidRPr="00F07E60">
        <w:rPr>
          <w:b/>
        </w:rPr>
        <w:tab/>
        <w:t>All existing channel models used in Rel-15 BS testing should be re-used for IAB-DU.</w:t>
      </w:r>
    </w:p>
    <w:p w14:paraId="0786E3D4" w14:textId="043FF4DE" w:rsidR="002C6CD4" w:rsidRDefault="002C6CD4" w:rsidP="002C6CD4">
      <w:pPr>
        <w:pStyle w:val="Proposal1"/>
      </w:pPr>
      <w:r w:rsidRPr="001F63CF">
        <w:t>Proposal #</w:t>
      </w:r>
      <w:r w:rsidR="00F65212">
        <w:t>3</w:t>
      </w:r>
      <w:r w:rsidRPr="001F63CF">
        <w:t xml:space="preserve">: </w:t>
      </w:r>
      <w:r w:rsidRPr="001F63CF">
        <w:tab/>
      </w:r>
      <w:r w:rsidRPr="00EC4AE0">
        <w:t>Follow Rel-15 approach and clarify that CA can be operated but is tested per carrier</w:t>
      </w:r>
      <w:r>
        <w:t>.</w:t>
      </w:r>
    </w:p>
    <w:p w14:paraId="5CDEF1BD" w14:textId="670C0800" w:rsidR="002C6CD4" w:rsidRDefault="002C6CD4" w:rsidP="002C6CD4">
      <w:pPr>
        <w:pStyle w:val="Proposal1"/>
      </w:pPr>
      <w:r w:rsidRPr="001F63CF">
        <w:t>Proposal #</w:t>
      </w:r>
      <w:r w:rsidR="00F65212">
        <w:t>4</w:t>
      </w:r>
      <w:r w:rsidRPr="001F63CF">
        <w:t xml:space="preserve">: </w:t>
      </w:r>
      <w:r w:rsidRPr="001F63CF">
        <w:tab/>
      </w:r>
      <w:r w:rsidRPr="00DE2BA4">
        <w:t>Keep all MCS from BS demodulation requirements</w:t>
      </w:r>
      <w:r>
        <w:t xml:space="preserve"> for IAB-DU demodulation requirements. </w:t>
      </w:r>
    </w:p>
    <w:p w14:paraId="01205A9E" w14:textId="1EA96A41" w:rsidR="002C6CD4" w:rsidRDefault="002C6CD4" w:rsidP="002C6CD4">
      <w:pPr>
        <w:tabs>
          <w:tab w:val="left" w:pos="1276"/>
        </w:tabs>
        <w:ind w:left="1276" w:hanging="1276"/>
        <w:rPr>
          <w:b/>
        </w:rPr>
      </w:pPr>
      <w:r w:rsidRPr="005534AE">
        <w:rPr>
          <w:b/>
        </w:rPr>
        <w:t>Proposal #</w:t>
      </w:r>
      <w:r w:rsidR="00F65212">
        <w:rPr>
          <w:b/>
        </w:rPr>
        <w:t>5</w:t>
      </w:r>
      <w:r w:rsidRPr="005534AE">
        <w:rPr>
          <w:b/>
        </w:rPr>
        <w:t xml:space="preserve">: </w:t>
      </w:r>
      <w:r w:rsidRPr="005534AE">
        <w:rPr>
          <w:b/>
        </w:rPr>
        <w:tab/>
        <w:t xml:space="preserve">All existing requirements for PUSCH with 30% of maximum throughput should be re-used for IAB-DU. </w:t>
      </w:r>
    </w:p>
    <w:p w14:paraId="098ED941" w14:textId="075F9BB3" w:rsidR="002C6CD4" w:rsidRDefault="002C6CD4" w:rsidP="002C6CD4">
      <w:pPr>
        <w:tabs>
          <w:tab w:val="left" w:pos="1276"/>
        </w:tabs>
        <w:ind w:left="1276" w:hanging="1276"/>
        <w:rPr>
          <w:b/>
        </w:rPr>
      </w:pPr>
      <w:r w:rsidRPr="005534AE">
        <w:rPr>
          <w:b/>
        </w:rPr>
        <w:t>Proposal #</w:t>
      </w:r>
      <w:r w:rsidR="00F65212">
        <w:rPr>
          <w:b/>
        </w:rPr>
        <w:t>6</w:t>
      </w:r>
      <w:r w:rsidRPr="005534AE">
        <w:rPr>
          <w:b/>
        </w:rPr>
        <w:t xml:space="preserve">: </w:t>
      </w:r>
      <w:r w:rsidRPr="005534AE">
        <w:rPr>
          <w:b/>
        </w:rPr>
        <w:tab/>
      </w:r>
      <w:r w:rsidRPr="0040628C">
        <w:rPr>
          <w:b/>
        </w:rPr>
        <w:t>Include requirements for PUSCH with transform precoding enabled</w:t>
      </w:r>
      <w:r>
        <w:rPr>
          <w:b/>
        </w:rPr>
        <w:t xml:space="preserve"> for IAB-DU testing</w:t>
      </w:r>
      <w:r w:rsidRPr="005534AE">
        <w:rPr>
          <w:b/>
        </w:rPr>
        <w:t xml:space="preserve">. </w:t>
      </w:r>
    </w:p>
    <w:p w14:paraId="1FD6ABF0" w14:textId="58FC9D43" w:rsidR="002C6CD4" w:rsidRPr="005534AE" w:rsidRDefault="002C6CD4" w:rsidP="002C6CD4">
      <w:pPr>
        <w:tabs>
          <w:tab w:val="left" w:pos="1276"/>
        </w:tabs>
        <w:ind w:left="1276" w:hanging="1276"/>
        <w:rPr>
          <w:b/>
        </w:rPr>
      </w:pPr>
      <w:r w:rsidRPr="005534AE">
        <w:rPr>
          <w:b/>
        </w:rPr>
        <w:t>Proposal #</w:t>
      </w:r>
      <w:r w:rsidR="00F65212">
        <w:rPr>
          <w:b/>
        </w:rPr>
        <w:t>7</w:t>
      </w:r>
      <w:r w:rsidRPr="005534AE">
        <w:rPr>
          <w:b/>
        </w:rPr>
        <w:t xml:space="preserve">: </w:t>
      </w:r>
      <w:r w:rsidRPr="005534AE">
        <w:rPr>
          <w:b/>
        </w:rPr>
        <w:tab/>
        <w:t>All existing requirements for UCI multiplexed on PUSCH should be re-used for IAB-DU.</w:t>
      </w:r>
    </w:p>
    <w:p w14:paraId="2CE51840" w14:textId="59B64CCC" w:rsidR="002C6CD4" w:rsidRPr="002C6CD4" w:rsidRDefault="002C6CD4" w:rsidP="002C6CD4">
      <w:pPr>
        <w:tabs>
          <w:tab w:val="left" w:pos="1276"/>
        </w:tabs>
        <w:ind w:left="1276" w:hanging="1276"/>
        <w:rPr>
          <w:b/>
        </w:rPr>
      </w:pPr>
      <w:r w:rsidRPr="005534AE">
        <w:rPr>
          <w:b/>
        </w:rPr>
        <w:t>Proposal #</w:t>
      </w:r>
      <w:r w:rsidR="00F65212">
        <w:rPr>
          <w:b/>
        </w:rPr>
        <w:t>8</w:t>
      </w:r>
      <w:r w:rsidRPr="005534AE">
        <w:rPr>
          <w:b/>
        </w:rPr>
        <w:t xml:space="preserve">: </w:t>
      </w:r>
      <w:r w:rsidRPr="005534AE">
        <w:rPr>
          <w:b/>
        </w:rPr>
        <w:tab/>
      </w:r>
      <w:r>
        <w:rPr>
          <w:b/>
        </w:rPr>
        <w:t xml:space="preserve">For </w:t>
      </w:r>
      <w:r w:rsidRPr="005534AE">
        <w:rPr>
          <w:b/>
        </w:rPr>
        <w:t>IAB-DU</w:t>
      </w:r>
      <w:r>
        <w:rPr>
          <w:b/>
        </w:rPr>
        <w:t xml:space="preserve"> performance requirements use existing applicability rule for CBW, SCS and mapping type</w:t>
      </w:r>
      <w:r w:rsidRPr="005534AE">
        <w:rPr>
          <w:b/>
        </w:rPr>
        <w:t>.</w:t>
      </w:r>
      <w:r>
        <w:rPr>
          <w:b/>
        </w:rPr>
        <w:t xml:space="preserve"> Besides that, define applicability rule to </w:t>
      </w:r>
      <w:r w:rsidRPr="0040628C">
        <w:rPr>
          <w:b/>
        </w:rPr>
        <w:t>test only maximum number of antennas declared to be supported by the manufacturer for the respective BS type, i.e., up to 8Rx in conducted/hybrid testing and up to 2Rx in OTA testing</w:t>
      </w:r>
      <w:r>
        <w:rPr>
          <w:b/>
        </w:rPr>
        <w:t>.</w:t>
      </w:r>
    </w:p>
    <w:p w14:paraId="0D98B6F1" w14:textId="2530D14C" w:rsidR="002C6CD4" w:rsidRPr="005534AE" w:rsidRDefault="002C6CD4" w:rsidP="002C6CD4">
      <w:pPr>
        <w:tabs>
          <w:tab w:val="left" w:pos="1276"/>
        </w:tabs>
        <w:ind w:left="1276" w:hanging="1276"/>
        <w:rPr>
          <w:b/>
        </w:rPr>
      </w:pPr>
      <w:r w:rsidRPr="005534AE">
        <w:rPr>
          <w:b/>
        </w:rPr>
        <w:t>Proposal #</w:t>
      </w:r>
      <w:r w:rsidR="00F65212">
        <w:rPr>
          <w:b/>
        </w:rPr>
        <w:t>9</w:t>
      </w:r>
      <w:r w:rsidRPr="005534AE">
        <w:rPr>
          <w:b/>
        </w:rPr>
        <w:t xml:space="preserve">: </w:t>
      </w:r>
      <w:r w:rsidRPr="005534AE">
        <w:rPr>
          <w:b/>
        </w:rPr>
        <w:tab/>
        <w:t xml:space="preserve">All existing requirements for </w:t>
      </w:r>
      <w:r>
        <w:rPr>
          <w:b/>
        </w:rPr>
        <w:t>multi-slot PUSCH</w:t>
      </w:r>
      <w:r w:rsidRPr="005534AE">
        <w:rPr>
          <w:b/>
        </w:rPr>
        <w:t xml:space="preserve"> should be re-used for IAB-DU</w:t>
      </w:r>
      <w:r>
        <w:rPr>
          <w:b/>
        </w:rPr>
        <w:t xml:space="preserve"> and corresponding declaration on supporting of this feature should be defined.</w:t>
      </w:r>
    </w:p>
    <w:p w14:paraId="79CBBEFE" w14:textId="77777777" w:rsidR="00B9560C" w:rsidRDefault="00B9560C" w:rsidP="00B9560C">
      <w:pPr>
        <w:tabs>
          <w:tab w:val="left" w:pos="1276"/>
        </w:tabs>
        <w:ind w:left="1276" w:hanging="1276"/>
        <w:rPr>
          <w:b/>
        </w:rPr>
      </w:pPr>
      <w:r w:rsidRPr="005534AE">
        <w:rPr>
          <w:b/>
        </w:rPr>
        <w:t>Proposal #</w:t>
      </w:r>
      <w:r>
        <w:rPr>
          <w:b/>
        </w:rPr>
        <w:t>10</w:t>
      </w:r>
      <w:r w:rsidRPr="005534AE">
        <w:rPr>
          <w:b/>
        </w:rPr>
        <w:t xml:space="preserve">: </w:t>
      </w:r>
      <w:r w:rsidRPr="005534AE">
        <w:rPr>
          <w:b/>
        </w:rPr>
        <w:tab/>
      </w:r>
      <w:r w:rsidRPr="00F07E60">
        <w:rPr>
          <w:b/>
        </w:rPr>
        <w:t>Keep all the PUCCH requirements and define the following applicability rule</w:t>
      </w:r>
      <w:r>
        <w:rPr>
          <w:b/>
        </w:rPr>
        <w:t>:</w:t>
      </w:r>
    </w:p>
    <w:p w14:paraId="186B18E0" w14:textId="77777777" w:rsidR="00B9560C" w:rsidRPr="00F07E60" w:rsidRDefault="00B9560C" w:rsidP="00B9560C">
      <w:pPr>
        <w:tabs>
          <w:tab w:val="left" w:pos="1560"/>
        </w:tabs>
        <w:ind w:left="1843" w:hanging="283"/>
        <w:rPr>
          <w:b/>
        </w:rPr>
      </w:pPr>
      <w:r w:rsidRPr="00F07E60">
        <w:rPr>
          <w:b/>
        </w:rPr>
        <w:t>•</w:t>
      </w:r>
      <w:r w:rsidRPr="00F07E60">
        <w:rPr>
          <w:b/>
        </w:rPr>
        <w:tab/>
        <w:t xml:space="preserve">If </w:t>
      </w:r>
      <w:r>
        <w:rPr>
          <w:b/>
        </w:rPr>
        <w:t>IAB-DU</w:t>
      </w:r>
      <w:r w:rsidRPr="00F07E60">
        <w:rPr>
          <w:b/>
        </w:rPr>
        <w:t xml:space="preserve"> declares to support more than </w:t>
      </w:r>
      <w:r>
        <w:rPr>
          <w:b/>
        </w:rPr>
        <w:t>two</w:t>
      </w:r>
      <w:r w:rsidRPr="00F07E60">
        <w:rPr>
          <w:b/>
        </w:rPr>
        <w:t xml:space="preserve"> PUCCH formats </w:t>
      </w:r>
      <w:r>
        <w:rPr>
          <w:b/>
        </w:rPr>
        <w:t>and</w:t>
      </w:r>
      <w:r w:rsidRPr="00F07E60">
        <w:rPr>
          <w:b/>
        </w:rPr>
        <w:t xml:space="preserve"> format 0</w:t>
      </w:r>
      <w:r>
        <w:rPr>
          <w:b/>
        </w:rPr>
        <w:t xml:space="preserve"> is supported</w:t>
      </w:r>
      <w:r w:rsidRPr="00F07E60">
        <w:rPr>
          <w:b/>
        </w:rPr>
        <w:t xml:space="preserve">, </w:t>
      </w:r>
      <w:r>
        <w:rPr>
          <w:b/>
        </w:rPr>
        <w:t xml:space="preserve">then </w:t>
      </w:r>
      <w:r w:rsidRPr="00F07E60">
        <w:rPr>
          <w:b/>
        </w:rPr>
        <w:t>limit the number of tests to format 0 and any other case chosen by the manufactur</w:t>
      </w:r>
      <w:r>
        <w:rPr>
          <w:b/>
        </w:rPr>
        <w:t>er</w:t>
      </w:r>
      <w:r w:rsidRPr="00F07E60">
        <w:rPr>
          <w:b/>
        </w:rPr>
        <w:t xml:space="preserve">. </w:t>
      </w:r>
    </w:p>
    <w:p w14:paraId="5FA613ED" w14:textId="77777777" w:rsidR="00B9560C" w:rsidRDefault="00B9560C" w:rsidP="00B9560C">
      <w:pPr>
        <w:tabs>
          <w:tab w:val="left" w:pos="1560"/>
        </w:tabs>
        <w:ind w:left="1843" w:hanging="283"/>
        <w:rPr>
          <w:b/>
        </w:rPr>
      </w:pPr>
      <w:r w:rsidRPr="00F07E60">
        <w:rPr>
          <w:b/>
        </w:rPr>
        <w:t>•</w:t>
      </w:r>
      <w:r w:rsidRPr="00F07E60">
        <w:rPr>
          <w:b/>
        </w:rPr>
        <w:tab/>
        <w:t xml:space="preserve">If </w:t>
      </w:r>
      <w:r>
        <w:rPr>
          <w:b/>
        </w:rPr>
        <w:t>IAB-DU</w:t>
      </w:r>
      <w:r w:rsidRPr="00F07E60">
        <w:rPr>
          <w:b/>
        </w:rPr>
        <w:t xml:space="preserve"> declares to support more than </w:t>
      </w:r>
      <w:r>
        <w:rPr>
          <w:b/>
        </w:rPr>
        <w:t>two</w:t>
      </w:r>
      <w:r w:rsidRPr="00F07E60">
        <w:rPr>
          <w:b/>
        </w:rPr>
        <w:t xml:space="preserve"> PUCCH formats </w:t>
      </w:r>
      <w:r>
        <w:rPr>
          <w:b/>
        </w:rPr>
        <w:t xml:space="preserve">and </w:t>
      </w:r>
      <w:r w:rsidRPr="00F07E60">
        <w:rPr>
          <w:b/>
        </w:rPr>
        <w:t xml:space="preserve">format 0 is not </w:t>
      </w:r>
      <w:r>
        <w:rPr>
          <w:b/>
        </w:rPr>
        <w:t>supported</w:t>
      </w:r>
      <w:r w:rsidRPr="00F07E60">
        <w:rPr>
          <w:b/>
        </w:rPr>
        <w:t xml:space="preserve">, </w:t>
      </w:r>
      <w:r>
        <w:rPr>
          <w:b/>
        </w:rPr>
        <w:t xml:space="preserve">then </w:t>
      </w:r>
      <w:r w:rsidRPr="00F07E60">
        <w:rPr>
          <w:b/>
        </w:rPr>
        <w:t>limit the number of tests to any two cases chosen by the manufacturer</w:t>
      </w:r>
      <w:r>
        <w:rPr>
          <w:b/>
        </w:rPr>
        <w:t>.</w:t>
      </w:r>
    </w:p>
    <w:p w14:paraId="37579A66" w14:textId="10326C5E" w:rsidR="00B9560C" w:rsidRPr="00F07E60" w:rsidRDefault="00B9560C" w:rsidP="00B9560C">
      <w:pPr>
        <w:tabs>
          <w:tab w:val="left" w:pos="1560"/>
        </w:tabs>
        <w:ind w:left="1843" w:hanging="283"/>
        <w:rPr>
          <w:b/>
        </w:rPr>
      </w:pPr>
      <w:r w:rsidRPr="00F07E60">
        <w:rPr>
          <w:b/>
        </w:rPr>
        <w:t>•</w:t>
      </w:r>
      <w:r w:rsidRPr="00F07E60">
        <w:rPr>
          <w:b/>
        </w:rPr>
        <w:tab/>
      </w:r>
      <w:r>
        <w:rPr>
          <w:b/>
        </w:rPr>
        <w:t>In any other cases apply requirements for declared PUCCH formats</w:t>
      </w:r>
      <w:r w:rsidR="002C6CD4">
        <w:rPr>
          <w:b/>
        </w:rPr>
        <w:t>.</w:t>
      </w:r>
      <w:bookmarkStart w:id="5" w:name="_GoBack"/>
      <w:bookmarkEnd w:id="5"/>
    </w:p>
    <w:p w14:paraId="1DF23513" w14:textId="7AF1329E" w:rsidR="002C6CD4" w:rsidRPr="00B802F3" w:rsidRDefault="002C6CD4" w:rsidP="002C6CD4">
      <w:pPr>
        <w:tabs>
          <w:tab w:val="left" w:pos="1276"/>
        </w:tabs>
        <w:ind w:left="1276" w:hanging="1276"/>
        <w:rPr>
          <w:b/>
        </w:rPr>
      </w:pPr>
      <w:r w:rsidRPr="005534AE">
        <w:rPr>
          <w:b/>
        </w:rPr>
        <w:t>Proposal #</w:t>
      </w:r>
      <w:r>
        <w:rPr>
          <w:b/>
        </w:rPr>
        <w:t>1</w:t>
      </w:r>
      <w:r w:rsidR="00F65212">
        <w:rPr>
          <w:b/>
        </w:rPr>
        <w:t>1</w:t>
      </w:r>
      <w:r w:rsidRPr="005534AE">
        <w:rPr>
          <w:b/>
        </w:rPr>
        <w:t xml:space="preserve">: </w:t>
      </w:r>
      <w:r w:rsidRPr="005534AE">
        <w:rPr>
          <w:b/>
        </w:rPr>
        <w:tab/>
        <w:t xml:space="preserve">All existing requirements </w:t>
      </w:r>
      <w:r>
        <w:rPr>
          <w:b/>
        </w:rPr>
        <w:t xml:space="preserve">and applicability rules </w:t>
      </w:r>
      <w:r w:rsidRPr="005534AE">
        <w:rPr>
          <w:b/>
        </w:rPr>
        <w:t xml:space="preserve">for </w:t>
      </w:r>
      <w:r>
        <w:rPr>
          <w:b/>
        </w:rPr>
        <w:t>PRACH</w:t>
      </w:r>
      <w:r w:rsidRPr="005534AE">
        <w:rPr>
          <w:b/>
        </w:rPr>
        <w:t xml:space="preserve"> should be re-used for IAB-DU</w:t>
      </w:r>
      <w:r>
        <w:rPr>
          <w:b/>
        </w:rPr>
        <w:t xml:space="preserve"> and corresponding declaration on supporting of this feature should be defined. The following new one applicability rule should be added: “</w:t>
      </w:r>
      <w:r w:rsidRPr="00B802F3">
        <w:rPr>
          <w:b/>
        </w:rPr>
        <w:t>For IAB-DU declares to support more than one PRACH formats, limit the number of tests to any two cases chosen by the manufacturer. If IAB-DU declares to support more than one PRACH formats where formats for both long and short PRACH sequences are presented, require to cho</w:t>
      </w:r>
      <w:r>
        <w:rPr>
          <w:b/>
        </w:rPr>
        <w:t>o</w:t>
      </w:r>
      <w:r w:rsidRPr="00B802F3">
        <w:rPr>
          <w:b/>
        </w:rPr>
        <w:t>se formats with different sequences.</w:t>
      </w:r>
      <w:r>
        <w:rPr>
          <w:b/>
        </w:rPr>
        <w:t>”</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03835563" w14:textId="125DF1A2" w:rsidR="00133B32" w:rsidRDefault="002C6CD4" w:rsidP="002C6CD4">
      <w:pPr>
        <w:widowControl w:val="0"/>
        <w:numPr>
          <w:ilvl w:val="0"/>
          <w:numId w:val="2"/>
        </w:numPr>
        <w:jc w:val="left"/>
        <w:textAlignment w:val="auto"/>
      </w:pPr>
      <w:bookmarkStart w:id="6" w:name="_Ref21009160"/>
      <w:bookmarkStart w:id="7" w:name="_Hlk21019686"/>
      <w:bookmarkStart w:id="8" w:name="_Ref20910096"/>
      <w:r w:rsidRPr="002C6CD4">
        <w:t xml:space="preserve">R4-2017673 </w:t>
      </w:r>
      <w:r w:rsidR="0055034A" w:rsidRPr="002C6CD4">
        <w:t>“</w:t>
      </w:r>
      <w:r w:rsidRPr="002C6CD4">
        <w:t>WF on Rel-16 NR IAB demodulation requirements</w:t>
      </w:r>
      <w:r w:rsidR="0055034A" w:rsidRPr="002C6CD4">
        <w:t xml:space="preserve">”, </w:t>
      </w:r>
      <w:r w:rsidRPr="002C6CD4">
        <w:t xml:space="preserve">Nokia, Nokia Shanghai Bell, </w:t>
      </w:r>
      <w:r w:rsidR="0055034A" w:rsidRPr="002C6CD4">
        <w:t>RAN #</w:t>
      </w:r>
      <w:r w:rsidRPr="002C6CD4">
        <w:t>97</w:t>
      </w:r>
      <w:r w:rsidR="005C302D" w:rsidRPr="002C6CD4">
        <w:t>e</w:t>
      </w:r>
      <w:r w:rsidR="0055034A" w:rsidRPr="002C6CD4">
        <w:t>,</w:t>
      </w:r>
      <w:r w:rsidR="002872BF" w:rsidRPr="002C6CD4">
        <w:t xml:space="preserve"> </w:t>
      </w:r>
      <w:r w:rsidRPr="002C6CD4">
        <w:t>November</w:t>
      </w:r>
      <w:r w:rsidR="0055034A" w:rsidRPr="002C6CD4">
        <w:t xml:space="preserve"> 20</w:t>
      </w:r>
      <w:bookmarkEnd w:id="6"/>
      <w:r w:rsidR="005C302D" w:rsidRPr="002C6CD4">
        <w:t>20</w:t>
      </w:r>
      <w:bookmarkEnd w:id="7"/>
      <w:bookmarkEnd w:id="8"/>
    </w:p>
    <w:p w14:paraId="390B7F89" w14:textId="68CEEE06" w:rsidR="00F65212" w:rsidRPr="002C6CD4" w:rsidRDefault="00F65212" w:rsidP="002C6CD4">
      <w:pPr>
        <w:widowControl w:val="0"/>
        <w:numPr>
          <w:ilvl w:val="0"/>
          <w:numId w:val="2"/>
        </w:numPr>
        <w:jc w:val="left"/>
        <w:textAlignment w:val="auto"/>
      </w:pPr>
      <w:bookmarkStart w:id="9" w:name="_Ref61541351"/>
      <w:r w:rsidRPr="00F65212">
        <w:t>RP-200472</w:t>
      </w:r>
      <w:r>
        <w:t xml:space="preserve"> “</w:t>
      </w:r>
      <w:r w:rsidRPr="00F65212">
        <w:t>Revised WID on NR performance requirement enhancement</w:t>
      </w:r>
      <w:r>
        <w:t>”,</w:t>
      </w:r>
      <w:r w:rsidRPr="00F65212">
        <w:t xml:space="preserve"> China Telecom</w:t>
      </w:r>
      <w:r>
        <w:t>, RAN #87e, March 2020</w:t>
      </w:r>
      <w:bookmarkEnd w:id="9"/>
    </w:p>
    <w:sectPr w:rsidR="00F65212" w:rsidRPr="002C6CD4"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638EB" w14:textId="77777777" w:rsidR="001E6CFE" w:rsidRDefault="001E6CFE">
      <w:r>
        <w:separator/>
      </w:r>
    </w:p>
  </w:endnote>
  <w:endnote w:type="continuationSeparator" w:id="0">
    <w:p w14:paraId="12DC72F3" w14:textId="77777777" w:rsidR="001E6CFE" w:rsidRDefault="001E6CFE">
      <w:r>
        <w:continuationSeparator/>
      </w:r>
    </w:p>
  </w:endnote>
  <w:endnote w:type="continuationNotice" w:id="1">
    <w:p w14:paraId="65D64E88" w14:textId="77777777" w:rsidR="001E6CFE" w:rsidRDefault="001E6C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AEF05" w14:textId="77777777" w:rsidR="001E6CFE" w:rsidRDefault="001E6CFE">
      <w:r>
        <w:separator/>
      </w:r>
    </w:p>
  </w:footnote>
  <w:footnote w:type="continuationSeparator" w:id="0">
    <w:p w14:paraId="5BCA9F2C" w14:textId="77777777" w:rsidR="001E6CFE" w:rsidRDefault="001E6CFE">
      <w:r>
        <w:continuationSeparator/>
      </w:r>
    </w:p>
  </w:footnote>
  <w:footnote w:type="continuationNotice" w:id="1">
    <w:p w14:paraId="201A41B4" w14:textId="77777777" w:rsidR="001E6CFE" w:rsidRDefault="001E6CF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9"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2"/>
  </w:num>
  <w:num w:numId="6">
    <w:abstractNumId w:val="6"/>
  </w:num>
  <w:num w:numId="7">
    <w:abstractNumId w:val="21"/>
  </w:num>
  <w:num w:numId="8">
    <w:abstractNumId w:val="9"/>
  </w:num>
  <w:num w:numId="9">
    <w:abstractNumId w:val="15"/>
  </w:num>
  <w:num w:numId="10">
    <w:abstractNumId w:val="19"/>
  </w:num>
  <w:num w:numId="11">
    <w:abstractNumId w:val="4"/>
  </w:num>
  <w:num w:numId="12">
    <w:abstractNumId w:val="2"/>
  </w:num>
  <w:num w:numId="13">
    <w:abstractNumId w:val="13"/>
  </w:num>
  <w:num w:numId="14">
    <w:abstractNumId w:val="14"/>
  </w:num>
  <w:num w:numId="15">
    <w:abstractNumId w:val="3"/>
  </w:num>
  <w:num w:numId="16">
    <w:abstractNumId w:val="17"/>
  </w:num>
  <w:num w:numId="17">
    <w:abstractNumId w:val="12"/>
  </w:num>
  <w:num w:numId="18">
    <w:abstractNumId w:val="20"/>
  </w:num>
  <w:num w:numId="19">
    <w:abstractNumId w:val="18"/>
  </w:num>
  <w:num w:numId="20">
    <w:abstractNumId w:val="7"/>
  </w:num>
  <w:num w:numId="21">
    <w:abstractNumId w:val="16"/>
  </w:num>
  <w:num w:numId="2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CA3"/>
    <w:rsid w:val="00063DA7"/>
    <w:rsid w:val="00063F57"/>
    <w:rsid w:val="000642FD"/>
    <w:rsid w:val="0006436D"/>
    <w:rsid w:val="0006480B"/>
    <w:rsid w:val="00064A18"/>
    <w:rsid w:val="00064A2B"/>
    <w:rsid w:val="00064B91"/>
    <w:rsid w:val="00065043"/>
    <w:rsid w:val="0006549C"/>
    <w:rsid w:val="00065636"/>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32D4"/>
    <w:rsid w:val="000B38DA"/>
    <w:rsid w:val="000B3F37"/>
    <w:rsid w:val="000B4083"/>
    <w:rsid w:val="000B453F"/>
    <w:rsid w:val="000B463C"/>
    <w:rsid w:val="000B49D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4AC"/>
    <w:rsid w:val="001275E6"/>
    <w:rsid w:val="00127DE2"/>
    <w:rsid w:val="00127F28"/>
    <w:rsid w:val="00127F4C"/>
    <w:rsid w:val="001301E5"/>
    <w:rsid w:val="00130714"/>
    <w:rsid w:val="00130953"/>
    <w:rsid w:val="00130A25"/>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CFE"/>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91"/>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CD4"/>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50C"/>
    <w:rsid w:val="002E58E1"/>
    <w:rsid w:val="002E5BDD"/>
    <w:rsid w:val="002E5C56"/>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8C5"/>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62C"/>
    <w:rsid w:val="003A19E0"/>
    <w:rsid w:val="003A1DD5"/>
    <w:rsid w:val="003A2019"/>
    <w:rsid w:val="003A208F"/>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686"/>
    <w:rsid w:val="003D680E"/>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3FCE"/>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28C"/>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8C9"/>
    <w:rsid w:val="0041195D"/>
    <w:rsid w:val="00411D71"/>
    <w:rsid w:val="00412045"/>
    <w:rsid w:val="0041209A"/>
    <w:rsid w:val="00412697"/>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CC5"/>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07D2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F58"/>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700042"/>
    <w:rsid w:val="0070023A"/>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4095"/>
    <w:rsid w:val="00714312"/>
    <w:rsid w:val="00714526"/>
    <w:rsid w:val="00714722"/>
    <w:rsid w:val="00714A2D"/>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93"/>
    <w:rsid w:val="00780657"/>
    <w:rsid w:val="0078092F"/>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4A6F"/>
    <w:rsid w:val="008251EC"/>
    <w:rsid w:val="0082540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20D"/>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CB0"/>
    <w:rsid w:val="00B90DC8"/>
    <w:rsid w:val="00B91356"/>
    <w:rsid w:val="00B917F8"/>
    <w:rsid w:val="00B919B6"/>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50E8"/>
    <w:rsid w:val="00B95242"/>
    <w:rsid w:val="00B95305"/>
    <w:rsid w:val="00B954FC"/>
    <w:rsid w:val="00B9560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3FEB"/>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5F76"/>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AE"/>
    <w:rsid w:val="00CE5180"/>
    <w:rsid w:val="00CE56E1"/>
    <w:rsid w:val="00CE5A7E"/>
    <w:rsid w:val="00CE5E50"/>
    <w:rsid w:val="00CE6168"/>
    <w:rsid w:val="00CE671E"/>
    <w:rsid w:val="00CE697C"/>
    <w:rsid w:val="00CE69F3"/>
    <w:rsid w:val="00CE6AD5"/>
    <w:rsid w:val="00CE6E24"/>
    <w:rsid w:val="00CE7320"/>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070"/>
    <w:rsid w:val="00DF02EC"/>
    <w:rsid w:val="00DF031E"/>
    <w:rsid w:val="00DF0D33"/>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6C60"/>
    <w:rsid w:val="00E56E29"/>
    <w:rsid w:val="00E570D3"/>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883"/>
    <w:rsid w:val="00E701D0"/>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83D"/>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07E60"/>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655"/>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C6C"/>
    <w:rsid w:val="00F52FA8"/>
    <w:rsid w:val="00F5372B"/>
    <w:rsid w:val="00F5388A"/>
    <w:rsid w:val="00F538A3"/>
    <w:rsid w:val="00F538CD"/>
    <w:rsid w:val="00F53C7B"/>
    <w:rsid w:val="00F54192"/>
    <w:rsid w:val="00F542D8"/>
    <w:rsid w:val="00F546DB"/>
    <w:rsid w:val="00F548C8"/>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5212"/>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5D9"/>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5Dark-Accent5">
    <w:name w:val="Grid Table 5 Dark Accent 5"/>
    <w:basedOn w:val="TableNormal"/>
    <w:uiPriority w:val="50"/>
    <w:rsid w:val="002175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AC277246-8EC2-4D18-A082-DBDAD3BF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F7706-8353-4CAD-8DC3-7FDC7A04EB9F}">
  <ds:schemaRefs>
    <ds:schemaRef ds:uri="http://schemas.openxmlformats.org/officeDocument/2006/bibliography"/>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683CBE1-CAF6-43D0-8049-7BC864E07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2240</Words>
  <Characters>12772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RAN4#98e</cp:lastModifiedBy>
  <cp:revision>5</cp:revision>
  <cp:lastPrinted>2020-02-15T14:56:00Z</cp:lastPrinted>
  <dcterms:created xsi:type="dcterms:W3CDTF">2021-01-15T20:01:00Z</dcterms:created>
  <dcterms:modified xsi:type="dcterms:W3CDTF">2021-01-15T23:02:00Z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